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1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28.05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1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61"/>
        <w:numPr>
          <w:ilvl w:val="0"/>
          <w:numId w:val="1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801"/>
        <w:numPr>
          <w:ilvl w:val="0"/>
          <w:numId w:val="1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Дякин Валерий Николаевич – пенсионер, Почетный архитектор России, Почетный строитель Тверской области;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801"/>
        <w:numPr>
          <w:ilvl w:val="0"/>
          <w:numId w:val="1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Микрюков Владимир Борисович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numPr>
          <w:ilvl w:val="0"/>
          <w:numId w:val="1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1070" w:firstLine="0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i w:val="0"/>
          <w:iCs w:val="0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spacing w:val="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Демидов А.Г. – председатель контрольной комисс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spacing w:val="1"/>
          <w:sz w:val="24"/>
          <w:szCs w:val="24"/>
        </w:rPr>
        <w:t xml:space="preserve"> Ассоциации, зам. директора Ассоциации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961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</w:r>
      <w:r>
        <w:rPr>
          <w:rFonts w:ascii="Times New Roman" w:hAnsi="Times New Roman"/>
          <w:bCs/>
          <w:i/>
          <w:iCs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6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е</w:t>
      </w:r>
      <w:r>
        <w:rPr>
          <w:rFonts w:ascii="Times New Roman" w:hAnsi="Times New Roman"/>
          <w:b/>
          <w:sz w:val="24"/>
          <w:szCs w:val="24"/>
        </w:rPr>
        <w:t xml:space="preserve">стке з</w:t>
      </w:r>
      <w:r>
        <w:rPr>
          <w:rFonts w:ascii="Times New Roman" w:hAnsi="Times New Roman"/>
          <w:b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</w:t>
      </w:r>
      <w:r>
        <w:rPr>
          <w:rFonts w:ascii="Times New Roman" w:hAnsi="Times New Roman"/>
          <w:b/>
          <w:sz w:val="24"/>
          <w:szCs w:val="24"/>
        </w:rPr>
        <w:t xml:space="preserve">уш</w:t>
      </w:r>
      <w:r>
        <w:rPr>
          <w:rFonts w:ascii="Times New Roman" w:hAnsi="Times New Roman"/>
          <w:b/>
          <w:sz w:val="24"/>
          <w:szCs w:val="24"/>
        </w:rPr>
        <w:t xml:space="preserve">али:</w:t>
      </w:r>
      <w:r>
        <w:rPr>
          <w:rFonts w:ascii="Times New Roman" w:hAnsi="Times New Roman"/>
          <w:sz w:val="24"/>
          <w:szCs w:val="24"/>
        </w:rPr>
        <w:t xml:space="preserve"> Председ</w:t>
      </w:r>
      <w:r>
        <w:rPr>
          <w:rFonts w:ascii="Times New Roman" w:hAnsi="Times New Roman"/>
          <w:sz w:val="24"/>
          <w:szCs w:val="24"/>
        </w:rPr>
        <w:t xml:space="preserve">ательств</w:t>
      </w:r>
      <w:r>
        <w:rPr>
          <w:rFonts w:ascii="Times New Roman" w:hAnsi="Times New Roman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sz w:val="24"/>
          <w:szCs w:val="24"/>
        </w:rPr>
        <w:t xml:space="preserve">дложил утв</w:t>
      </w:r>
      <w:r>
        <w:rPr>
          <w:rFonts w:ascii="Times New Roman" w:hAnsi="Times New Roman"/>
          <w:sz w:val="24"/>
          <w:szCs w:val="24"/>
        </w:rPr>
        <w:t xml:space="preserve">ердить </w:t>
      </w:r>
      <w:r>
        <w:rPr>
          <w:rFonts w:ascii="Times New Roman" w:hAnsi="Times New Roman"/>
          <w:sz w:val="24"/>
          <w:szCs w:val="24"/>
        </w:rPr>
        <w:t xml:space="preserve">сл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ующую </w:t>
      </w:r>
      <w:r>
        <w:rPr>
          <w:rFonts w:ascii="Times New Roman" w:hAnsi="Times New Roman"/>
          <w:sz w:val="24"/>
          <w:szCs w:val="24"/>
        </w:rPr>
        <w:t xml:space="preserve">повестку</w:t>
      </w:r>
      <w:r>
        <w:rPr>
          <w:rFonts w:ascii="Times New Roman" w:hAnsi="Times New Roman"/>
          <w:sz w:val="24"/>
          <w:szCs w:val="24"/>
        </w:rPr>
        <w:t xml:space="preserve"> дня 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numPr>
          <w:ilvl w:val="0"/>
          <w:numId w:val="53"/>
        </w:numPr>
        <w:ind w:left="714" w:hanging="357"/>
        <w:jc w:val="both"/>
        <w:spacing w:after="200" w:line="240" w:lineRule="auto"/>
        <w:rPr>
          <w:rFonts w:ascii="Times New Roman" w:hAnsi="Times New Roman" w:eastAsia="Times New Roman"/>
          <w:i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val="ru-RU"/>
        </w:rPr>
        <w:t xml:space="preserve">По   обращению  НОПРИЗ в связи с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val="ru-RU"/>
        </w:rPr>
        <w:t xml:space="preserve">обнаружением недостоверной информации при проверке документов направленных для включения сведений о специалисте  в НРС.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Байдаков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.)</w:t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</w:p>
    <w:p>
      <w:pPr>
        <w:pStyle w:val="801"/>
        <w:numPr>
          <w:ilvl w:val="0"/>
          <w:numId w:val="5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1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первому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вопросу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повестки дня –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val="ru-RU"/>
        </w:rPr>
        <w:t xml:space="preserve">По   обращению  НОПРИЗ в связи с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val="ru-RU"/>
        </w:rPr>
        <w:t xml:space="preserve">обнаружением недостоверной информации при проверке документов направленных для включения сведений о специалисте  в НРС.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en-US" w:bidi="en-US"/>
        </w:rPr>
      </w:r>
    </w:p>
    <w:p>
      <w:pPr>
        <w:pStyle w:val="961"/>
        <w:ind w:firstLine="708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Байдакова А.А.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, который доложил прису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тствующим о ситуации связанной с исключением НОПРИЗ сведений о специалисте ООО «Прожектъ» из НРС в связи с представлением им недостоверных сведений.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Решили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проинформировать руководителей всех членов Ассоциации об указанном инциденте. 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</w:t>
      </w:r>
      <w:r>
        <w:rPr>
          <w:rFonts w:ascii="Times New Roman" w:hAnsi="Times New Roman"/>
          <w:b/>
          <w:sz w:val="24"/>
          <w:szCs w:val="24"/>
        </w:rPr>
        <w:t xml:space="preserve">олосовали: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, «против</w:t>
      </w:r>
      <w:r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 xml:space="preserve">нет, «воздержался» -</w:t>
      </w:r>
      <w:r>
        <w:rPr>
          <w:rFonts w:ascii="Times New Roman" w:hAnsi="Times New Roman"/>
          <w:sz w:val="24"/>
          <w:szCs w:val="24"/>
        </w:rPr>
        <w:t xml:space="preserve">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Реш</w:t>
      </w:r>
      <w:r>
        <w:rPr>
          <w:rFonts w:ascii="Times New Roman" w:hAnsi="Times New Roman"/>
          <w:sz w:val="24"/>
          <w:szCs w:val="24"/>
        </w:rPr>
        <w:t xml:space="preserve">ение п</w:t>
      </w:r>
      <w:r>
        <w:rPr>
          <w:rFonts w:ascii="Times New Roman" w:hAnsi="Times New Roman"/>
          <w:sz w:val="24"/>
          <w:szCs w:val="24"/>
        </w:rPr>
        <w:t xml:space="preserve">ринято</w:t>
      </w:r>
      <w:r>
        <w:rPr>
          <w:rFonts w:ascii="Times New Roman" w:hAnsi="Times New Roman"/>
          <w:sz w:val="24"/>
          <w:szCs w:val="24"/>
        </w:rPr>
        <w:t xml:space="preserve"> един</w:t>
      </w:r>
      <w:r>
        <w:rPr>
          <w:rFonts w:ascii="Times New Roman" w:hAnsi="Times New Roman"/>
          <w:sz w:val="24"/>
          <w:szCs w:val="24"/>
        </w:rPr>
        <w:t xml:space="preserve">огласно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61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второму вопросу повестки дня – 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  <w:t xml:space="preserve">Разное.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pStyle w:val="961"/>
        <w:ind w:firstLine="70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Волкова 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который проинформировал присутствующих о решениях принятых на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val="en-US"/>
        </w:rPr>
        <w:t xml:space="preserve">XIII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val="ru-RU"/>
        </w:rPr>
        <w:t xml:space="preserve">Всероссийском съезде НОПРИЗ.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961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принять информацию Волкова В.В. к сведению.</w:t>
      </w:r>
      <w:r>
        <w:rPr>
          <w:rFonts w:ascii="Times New Roman" w:hAnsi="Times New Roman"/>
          <w:bCs/>
          <w:spacing w:val="2"/>
          <w:sz w:val="24"/>
          <w:szCs w:val="24"/>
        </w:rPr>
      </w:r>
      <w:r>
        <w:rPr>
          <w:rFonts w:ascii="Times New Roman" w:hAnsi="Times New Roman"/>
          <w:bCs/>
          <w:spacing w:val="2"/>
          <w:sz w:val="24"/>
          <w:szCs w:val="24"/>
        </w:rPr>
      </w:r>
    </w:p>
    <w:p>
      <w:pPr>
        <w:pStyle w:val="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61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61"/>
        <w:contextualSpacing w:val="0"/>
        <w:jc w:val="right"/>
        <w:pageBreakBefore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1"/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1"/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ассоциации «СРО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«ТОП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1"/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09.04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right="-185"/>
        <w:jc w:val="center"/>
        <w:tabs>
          <w:tab w:val="left" w:pos="851" w:leader="none"/>
        </w:tabs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ОЛОЖЕНИЕ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none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ЧЛЕНСТВЕ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 ТОМ ЧИСЛЕ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 ТРЕБОВАНИЯХ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ЧЛЕНАМ, РАЗМЕРЕ, ПОРЯДКЕ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РАСЧЕТА,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А ТАКЖЕ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ПОРЯДКЕ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УПЛАТЫ ВСТУПИТЕЛЬНОГО ВЗНОСА,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ЧЛЕНСКИХ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ВЗНОСОВ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АССОЦИАЦИ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«САМОРЕГУЛИРУЕМАЯ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«ТВЕРСКОЕ ОБЪЕДИНЕНИЕ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ПРОЕКТИРОВЩИКОВ»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02"/>
        <w:jc w:val="both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line="240" w:lineRule="auto"/>
        <w:tabs>
          <w:tab w:val="left" w:pos="851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line="240" w:lineRule="auto"/>
        <w:tabs>
          <w:tab w:val="left" w:pos="851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ТВЕРЬ</w:t>
      </w:r>
      <w:r>
        <w:rPr>
          <w:rFonts w:ascii="Times New Roman" w:hAnsi="Times New Roman" w:cs="Times New Roman"/>
          <w:b/>
          <w:color w:val="000000" w:themeColor="text1"/>
          <w:sz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</w:r>
    </w:p>
    <w:p>
      <w:pPr>
        <w:pStyle w:val="802"/>
        <w:jc w:val="both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jc w:val="center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1. 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БЩИЕ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ПОЛОЖЕНИЯ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jc w:val="both"/>
        <w:tabs>
          <w:tab w:val="left" w:pos="851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right="1"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разработано в соответствии с Градостроительным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одексом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РФ, Федеральным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 01.12.2007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315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ФЗ «О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саморегулируемых организациях», Федеральным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законом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12.01.1996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 7-ФЗ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"О некоммерческих организациях", другими нормативными правовыми актами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«С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аморегулируем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организаци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 «Тверское объединение проектировщиков»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также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Требования настоящего Положения обязательны для соблюдения всеми членами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органами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управления,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специализированными органами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работниками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1.3.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могут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 приняты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том числе иностранное юридическое лицо,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предприниматель при условии соответствия таких юридических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лиц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индивидуальных предпринимателей требованиям, установленным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своим членам, и уплаты такими лицами в полном объеме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компенсационный фонд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(компенсационные фонды)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становлен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РФ.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не может быть членом другой саморегулируемой организации того же вида.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принимается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Правлением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документов, предоставленных кандидатом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а также результатов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проверки, проведенной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внутренними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об исключении из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принимается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Правлением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соответствии с внутренними документами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В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СТУПЛЕНИЕ В ЧЛЕНЫ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Для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приема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индивидуальный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предприниматель или юридическое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 представляет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следующие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заявление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котором должны быть указаны в том числе сведения о намерении принимать участие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заключении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подряда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проектной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использованием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конкурентных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способов заключения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договоров или об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отсутствии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таких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намерений,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подписанное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уполномоченным лицом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олномочия такого лица подтверждаются Уставом, доверенностью и (или) иным документом, который должен прилагаться к заявлению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копия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подтверждающего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факт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внесения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соответствующий государственный реестр записи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государственной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регистрации индивидуального предпринимателя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 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копи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учредительных документов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 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иностранных юридических лиц – надлежащим образом заверенный перевод 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русский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язык документов о государственной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регистрации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ридического лица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законодательством соответствующего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государства;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документы, подтверждающие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 лица требованиям, установленным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своим членам в разделе 3 настоящего Положения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иных внутренних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документы, подтверждающие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специалистов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указанных в статье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55.5-1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окументы,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подтверждающие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специалистов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организации проектирования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(главных инженеров проекта,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главных ар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хитекторов проекта)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должностных обязанностей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w:tooltip="#sub_555103" w:anchor="sub_555103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hyperlink w:tooltip="#sub_555105" w:anchor="sub_555105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 статьи 55.5-1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Градостроительного кодекса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 Документы, представляемые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иностранными юридическими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иностранном языке, должны быть переведены на русский язык и надлежащим образом легализованы.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2.3. Представление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документов, указанных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пункте 2.1 настоящего Положения,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осуществляется по описи.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Передача документов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электронного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 (п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акета документов), подписанного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усиленной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квалифицированной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электронной подписью,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допускается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использования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соответствующего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программного обеспечения, позволяющего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законодательством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Российской Федерации осуществлять работу с такими документами.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проверки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документов, указанных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пункте 2.1 настоящего Положения, устанавливается внутренними документами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2.5.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срок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более чем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два месяца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дня получения документов, указанных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пункте 2.1. настоящего Положения,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осуществляет проверку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юридического лица на соответствие требованиям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своим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членам. При этом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вправе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обратиться: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Национальное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объединение саморегулируемых организаций, основанных на членстве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лиц, выполняющих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инженерные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изыскания,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саморегулируемых организаций, основанных на членстве лиц, осуществляющих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 документации (далее – 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ОПРИЗ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запросом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сведений: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выплатах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 компенсационного фонда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саморегулируемой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организации, членом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являлись индивидуальный предприниматель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юридическое лицо, произведенных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вине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такого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такого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б)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отсутствии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отношении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специалистов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реестра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специалистов, принятых за период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чем два года, предшествующих дню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получения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документов, указанных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пункте 2.1. настоящего Положения;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органы государственной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власти и органы местного самоуправления с запросом информации, необходимой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принятия решения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саморегулируемые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организации, членом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индивидуальный предприниматель или юридическое лицо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являлись ранее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запросом документов и (или)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информации,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касающихся деятельности такого индивидуального предпринимателя или такого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 лица,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включая акты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проверок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его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2.6.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результатам проверки, предусмотренной пунктом 2.5. настоящего Положения, постоянно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действующий коллегиальный орган управления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принимает одно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следующих решений: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 условии уплаты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вступительного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 (в случае, если требования 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уплате такого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 установлены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компенсационный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фонд возмещения вреда, 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также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компенсационный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фонд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обязательств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случае, если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 формировании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такого компенсационного фонда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указаны сведения о намерении принимать участие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заключении договоров на подготовку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 документации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использованием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конкурентных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аключения договоров;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об отказе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 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юридического лица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указанием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причин такого отказа.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2.7. Ассоциация отказывает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 индивидуального предпринимателя 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следующим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основаниям: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есоответствие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требованиям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своим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непредставление индивидуальным предпринимателем или юридическим лицом в полном объеме документов, предусмотренных пунктом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настоящего Положения;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если индивидуальный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предприниматель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 уже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является членом саморегулируемой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организации, основанной на членстве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лиц, осуществляющих подготовку проектной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или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саморегулируемой организации, основанной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лиц, осуществляющих подготовку проектной документации, было прекращено менее 1 года до дня принятия решения,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пункте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2.6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вправе отказать в 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следующим основаниям: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вине 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 лица осуществлялись выплаты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компенсационного фонда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возмещения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вреда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компенсационного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фонда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обеспечения договорных обязательств саморегулируемой организации, членом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которой ранее являлись такой индивидуальный предприниматель или такое юридическое лицо;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совершени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индивидуальным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юридическим лицом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одного года двух и более аналогичных административных правонарушений, допущенных при подготовке проектной документации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отношении одного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случае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проведени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процедуры банкротства в отношении юридич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еского лица или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юридическое лицо или индивидуальный предприниматель включены в реестр недобросовестных поставщиков (подрядчиков, исполнителей) по договорам.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2.9.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трехдневный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срок с момента принятия одного из решений, указанных в пункте 2.6. настоящего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Положения,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направить индивидуальному предпринимателю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юридическому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решении с приложением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копии такого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2.10.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Индивидуальный предприниматель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отношении которых принято решение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течение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семи рабочих дней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 дня получения уведомления, указанного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пункте 2.9. настоящего Положения, обязаны уплатить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полном объеме: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 в компенсационный фонд возмещения вреда;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взнос в компенсационный фонд обеспечения договорных обязательств в случае, если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принял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 формировании такого компенсационного фонда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заявлении 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указаны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сведения о намерении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принимать участие в заключении договоров на подготовку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 документации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использованием конкурентных способов заключения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договоров;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 вступительный взнос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случае, если требования к уплате такого взноса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установлены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2.11. Решение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приеме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вступает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силу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 дня уплаты в полном объеме взноса (взносов) в компенсационный фонд (компенсационные фонды)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а также вступительного взноса в случае, если требования к уплате такого взноса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установлены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неуплаты в установленный срок указанных в настоящем пункте взносов решение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 считается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вступившим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силу, а юридическое лицо или индивидуальный предприниматель считается не принятым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возвращает такому юридическому лицу или индивидуальному предпринимателю документы, поданные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им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целью вступления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 дней со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дня истечения установленного срока уплаты указанных в настоящем пункте взносов. Такое юридическое лицо или индивидуальный предприниматель вправе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вступить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саморегулируемую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организацию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порядке, установленном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настоящим Положением.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2.12. Решения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 лица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отказе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приеме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бездействие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перечень оснований для отказа в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Положением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(или)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иными внутренними документами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могут быть обжало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ваны в арбитражный суд, а также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третейский суд, сформированный Национальным объединением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изыскателей и проектировщиков.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Т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РЕБОВАНИЯ К ЧЛЕНАМ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должны соответствовать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следующи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ребования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80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квалификационные требования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индивидуальным предпринимателям, а также руководителям юридического лица, самостоятельно организующим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 документации - наличие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ысшего образования соответствующего профиля и стажа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специальности 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менее чем пять лет;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требования 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наличию у индивидуального предпринимателя или юридического лица специалистов по организации архитектурно-строительного проектирования (главных инженеров проектов,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главных архитекторов проектов), сведения о которых включены в национальный реестр специалистов в области инженерных изысканий и архитектурно-строительного проектирования (далее также – специалисты), - не менее чем два специалиста по месту основной работы.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Специалистом по организации архитектурно-строительного проектирования является физическое лицо,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ведения 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включаются в национальный реестр специалистов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области инженерных изысканий и архитектурно-строительного проектирования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 условии его соответствия следующим минимальным требованиям: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наличие стажа работы на инженерных должностях не менее чем три года в организациях, осуществляющих подготовку проектной документации объектов капитального строительства;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 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</w:t>
      </w:r>
      <w:hyperlink r:id="rId12" w:tooltip="https://normativ.kontur.ru/document?moduleid=1&amp;documentid=276064#l0" w:anchor="l0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от 3 июля 2016 года N 238-ФЗ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"О независимой оценке квалификации" независимой оценки квалификации физического лица, претендующего на осуществление профессиональной деятельности по организации выполнения работ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подготовке проектной документации,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должностных обязанностей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4) не реже одного раза в пять лет прохождение в соответствии с Федеральным законом </w:t>
      </w:r>
      <w:hyperlink r:id="rId13" w:tooltip="https://normativ.kontur.ru/document?moduleid=1&amp;documentid=276064#l0" w:anchor="l0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от 3 июля 2016 года N 238-ФЗ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"О независимой оценке квалификации" независимой оценки квалификации физического лица,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5) наличие документа, подтверждающего право иностранного гражданина на осуществление трудовой деятельности на территории Российской Федерации, за исключением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67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6) 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3.2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Минимальными требованиями к члену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социации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) наличие у члена саморегулируемой организации в штате по месту основной работы: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не менее 2 работников, занимающих должности руководителей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</w:rPr>
        <w:t xml:space="preserve"> (генеральный директор (директор), и (или) технический директор, и (или) их заместители, и (или) главный инженер) (далее - руководители),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 соответствующего профиля и стаж работы в об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рублей;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не менее 2 руководителе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 стаж работы в об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ласти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50 миллионов рублей;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не менее 2 руководителей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 стаж работы в обл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асти архитектурно-строительного проектирования не менее 5 лет,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рублей;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тельного проектирования, а также не менее 7 специалистов, имеющих высшее профессиональное образование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саморегулируемой организации планирует выполнять по одному договору о подготовке проектной документации, составляет 300 миллионов рублей и более;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) наличие у руководителей и специалистов квалификации, подтвержденной в порядке, установленном внутренними документами саморегулируемой организации, с учетом требований законодательства Российской Федерации;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) 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надзору, в случае, если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150" w:line="240" w:lineRule="auto"/>
        <w:widowControl w:val="off"/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4"/>
          <w:szCs w:val="24"/>
        </w:rPr>
        <w:t xml:space="preserve">(п. 3.2. утрачивает  в силу с 01.09.2024)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150" w:line="240" w:lineRule="auto"/>
        <w:widowControl w:val="off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  <w:t xml:space="preserve">3.2.1</w:t>
      </w: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Минимальными требованиями к члену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социации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особо опасных, технически сложных и уникальных объектов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являющихся объектами использования атомной энергии, в отношении кадрового состава являются:</w:t>
      </w:r>
      <w: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r>
    </w:p>
    <w:p>
      <w:pPr>
        <w:ind w:right="0" w:firstLine="708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наличие у члена саморегулируемой организации: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</w:rPr>
        <w:t xml:space="preserve">генерального директора (директора, управляющего), и (или) технического директора, и (или) их заместителей, и (или) главного инженера и (или) его заместителя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(далее - руководители)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1 части 10 </w:t>
      </w:r>
      <w:hyperlink r:id="rId14" w:tooltip="https://fzakon.ru/gradostroitelnyy-kodeks/statya-55.16/" w:history="1">
        <w:r>
          <w:rPr>
            <w:rStyle w:val="943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2 части 10 </w:t>
      </w:r>
      <w:hyperlink r:id="rId15" w:tooltip="https://fzakon.ru/gradostroitelnyy-kodeks/statya-55.16/" w:history="1">
        <w:r>
          <w:rPr>
            <w:rStyle w:val="943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4"/>
          <w:szCs w:val="24"/>
          <w:u w:val="none"/>
        </w:rPr>
        <w:t xml:space="preserve">установленному пунктом 3 части 10 </w:t>
      </w:r>
      <w:hyperlink r:id="rId16" w:tooltip="https://fzakon.ru/gradostroitelnyy-kodeks/statya-55.16/" w:history="1">
        <w:r>
          <w:rPr>
            <w:rStyle w:val="943"/>
            <w:rFonts w:ascii="Times New Roman" w:hAnsi="Times New Roman" w:eastAsia="Times New Roman" w:cs="Times New Roman"/>
            <w:strike w:val="0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strike w:val="0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4"/>
          <w:szCs w:val="24"/>
          <w:u w:val="none"/>
        </w:rPr>
      </w:r>
    </w:p>
    <w:p>
      <w:pPr>
        <w:ind w:left="0" w:right="0" w:firstLine="72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 дог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Федеральным законом "О независимой оценке квалификации" независи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установленному пунктом 4 части 10 </w:t>
      </w:r>
      <w:hyperlink r:id="rId17" w:tooltip="https://fzakon.ru/gradostroitelnyy-kodeks/statya-55.16/" w:history="1">
        <w:r>
          <w:rPr>
            <w:rStyle w:val="943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статьи 55.16 Градостроительного 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 Российской Федерации;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150" w:line="240" w:lineRule="auto"/>
        <w:widowControl w:val="off"/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  <w:t xml:space="preserve">(3.2.1. вступает в силу с 01.09.2024)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4"/>
          <w:szCs w:val="24"/>
          <w:highlight w:val="none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3.3.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Минимальным требованием к члену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собственности или ином законном основании зданий, и (или) сооружений, и (или) помещений, электронно-вычислительных средств и лицензионного программного обеспечения. и в случае необходимости средств обеспечения промышленной безопасности, а также средств кон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троля и измерений. 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энергии, определяются саморегулируемой организацией.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980"/>
        <w:ind w:firstLine="54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3.4.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Минимальным требованием к члену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</w:t>
      </w:r>
      <w:r>
        <w:rPr>
          <w:rFonts w:ascii="Times New Roman" w:hAnsi="Times New Roman" w:eastAsia="Times New Roman" w:cs="Times New Roman"/>
          <w:b w:val="0"/>
          <w:bCs/>
          <w:color w:val="000000" w:themeColor="text1"/>
          <w:sz w:val="24"/>
          <w:szCs w:val="24"/>
        </w:rPr>
        <w:t xml:space="preserve">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Члены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уведомлять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 нарушении обязательств по заключенным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договорам подряда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подготовку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документации, заключенным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использованием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конкурентных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способов заключения договоров, а также о судебных гражданско-правовых спорах по таким договорам в течение 7 (семи) дней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когда члену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стало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известно о нарушении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обязательств и (или)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судебных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гражданско-правовых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спорах.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Р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АЗМЕРЫ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ПОРЯДОК РАСЧЁТА И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УПЛАТЫ ВСТУПИТЕЛЬНОГО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ЧЛЕНСКИХ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И ИНЫХ ЦЕЛЕВЫХ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ВЗНОСОВ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Размеры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вступительного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взносов,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виды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размеры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целевых взносов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порядок их уплаты устанавливаются настоящим Положением и могут быть изменены путем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внесения изменений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настоящее Положение.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Вступительный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это обязательный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разовый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единовременный денежный взнос, уплачиваемый юридическим лицом или индивидуальным предпринимателем, в отношении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которых принято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Вступительный взнос уплачивается в порядке безналичного расчета на расчетный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наличными денежными средствами в кассу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соответствии с требованиями законодательства РФ. При этом датой уплаты вступительного взноса считается дата поступления денежных средств на расчетный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внесения наличных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денежных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средств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кассу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Вступительный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 должен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плачен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юридическим лицом или индивидуальным предпринимателем в полном объеме в течение семи рабочих дней со дня получения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уведомления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Уплата вступительного взноса является обязательным условием для вступления в силу решения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 приеме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внесения сведений в реестр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Размер вступительного взноса является единым для всех 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составляет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20000 (двадцать тысяч)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4.3.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-это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обязательный регулярный денежный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 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направляется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деятельности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достижению уставных целей и реализации уставных задач и функций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Членский взнос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рассчитывается ежемесячно, уплачивается ежеквартально. В случае изменения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расчетных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показателей новый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размер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 рассчитывается с месяца, следующ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месяцем соответствующих изменений.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уплачиваются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каждым членом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позднее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 (двадцатого) числа первого месяца квартала (не позднее 20 января, 20 апреля, 20 июля, 20 октября)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посредством безналичного перечисления ден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ежных средств на расчетный счет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несения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наличных денежных средств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кассу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требованиями законодательства РФ. При этом датой уплаты членского взноса считается дата поступления денежных средств на расчетный счет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дата внесения наличных денежных средств в кассу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Членские взносы могут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уплачены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ранее сроков, установленных настоящим пунктом (авансовым платежом).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 зависимости от даты принятия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решения о приеме юридического лица или индивидуального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предпринимателя 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членский взнос уплачивается в полном размере за тот месяц, в котором принято решение о принятии в члены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Вне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зависимости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 даты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прекращения 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членский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уплачивается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полном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размере за тот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месяц, в котором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принято решение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 исключении из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поступило заявление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добровольном прекращении членства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4.4.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должны иметь только целевой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характер, 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есть дополнительно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членским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должны быть направлены 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достижению уставных целей и реализации уставных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 и функций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приоритетных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направлений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 том числе участие в объединениях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Целевые взносы подразделяются на обязательные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добровольные.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Обязательные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целевые взносы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могут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устанавливаться Общим собранием 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периодической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(или)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единовременной основе.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4.5. Целевые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компенсационный фонд возмещения вреда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 том числе дополнительный целевой взнос в случае восполнения компенсационного фонда возмещения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вреда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уплачиваются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Положением о компенсационном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фонде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возмещения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вреда.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елевые взносы в компенсационный фонд обеспечения договорных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числе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дополнительный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целевой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взнос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восполнения компенсационного фонда обеспечения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оговорных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обязательств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уплачиваются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соответствии с Положением о компенсационном фонде обеспечения договорных обязательств.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4.6.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 прекращении 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внесенные вступительный, членские и иные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целевые взносы,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том числе авансовые платежи,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внесенные в уплату членских взносов, возврату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подлежат.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О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СНОВАНИЯ И ПОРЯДОК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ПРЕКРАЩЕНИЯ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ЧЛЕНСТВА В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5.1. Членство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добровольного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выхода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состава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сключения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смерти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- 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ликвидации юридического лица - 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4) присоединения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другой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аморегулируемой организации;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основаниям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случаях, которые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указаны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Федеральном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законе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 1 декабря 2007 г. N 315-ФЗ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«О саморегулируемых организациях».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Член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вправе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любое время выйти из состава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своему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усмотрению, 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этом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бязан подать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заявление о добровольном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Членств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прекращается со дня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поступления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подписанного уполномоченным лицом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заявления члена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добровольном прекращении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указанному заявлению должны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приложены следующие документы: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документы,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подтверждающие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полномочия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на подписание указанного заявления (доверенность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т.п.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за исключением случаев подписания заявления самим индивидуальным предпринимателем;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в случае, если законом и (или) учредительными документами юридического лица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установлен порядок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принятия решения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добровольном прекращении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предусматрива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принятие соответствующего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решения органами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управления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к заявлению о добровольном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должна быть приложена копия такого решения.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Указанная копия заверяется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полномоченным лицом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и, при наличии, печатью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юридического лица.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отсутствия вместе с заявлением о добровольном прекращении 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указанных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настоящем пункте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документов (при необходимости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их наличия) заявление о выходе из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считается не поступившим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5.3.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день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поступления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добровольном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вносит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реестр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сведения о прекращении членства индивидуального предпринимателя 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поступления указанного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заявления 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бумажном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носителе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этот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же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день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случае его поступления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электронного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(пакета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электронных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документов) направляет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Национальное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объединение изыскателей 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проектировщиков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уведомление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 этом.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оциация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принимает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 об исключении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 или юридического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лица 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наличии одного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нескольких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следующих оснований: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 в случае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присоединени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одной саморегулируемой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организации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другой саморегулируемой организации;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основания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случа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соответствии с Федеральным законом "О саморегулируемых организациях".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вправе принять решение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 исключении из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юридического лица также: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несоблюдении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требований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технических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регламентов, повлекшего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собой причинение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вреда;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</w:t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неоднократном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одного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года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грубом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требований законодательства Российской Федерации о градостроительной деятельности,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технических регламентов,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стандартов на процессы выполнения работ по подготовке проектной документации,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утвержденных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Национальным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объединением изыскателей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проектировщик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ов, стандартов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настоящего Положения, Положения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контроле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деятельностью своих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(или) иных внутренних документов.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3) при неоднократном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одного года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рока оплаты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членских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взносов,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неуплате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иных обязательных целевых взносов или неоднократном нарушении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срока оплаты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иных обязательных целевых взносов, в отношении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установлена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оплата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 частям;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4) при 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внесении дополнительного целевого взноса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компенсационный фонд возмещения вреда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установленный срок в соответствии с Положением о компенсационном фонде возмещения вреда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есении дополнительного целевого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взноса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компенсационный фонд обеспечения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договорных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установленный срок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соответствии с Положением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компенсационном фонде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обеспечения договорных обязательств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Решение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 исключении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 членов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индивидуального предпринимателя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юридического лица принимается пост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оянно действующим коллегиальным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органом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управления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5.7. Не позднее трех рабочих дней со дня, следующего за днем принятия постоянно действующим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коллегиальным органом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управления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решения об исключении индивидуального предпринимателя или юридического лица из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уведомляет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письменной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форме об этом: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лицо, членство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которого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прекращено;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2) Национальное объединение изыскателей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проектировщиков.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5.8. Членство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считается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прекращенным с даты внесения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реестр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соответствующих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сведений.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5.9.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Лицу, прекратившему членство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возвращаются уплаченные вступительный взнос, членские взносы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взнос (взносы)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компенсационный фонд (компенсационные фонды)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если иное не предусмотрено Федеральным законом о введении в действие Градостроительного кодекса РФ.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5.10.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прекращения индивидуальным предпринимателем или юридическим лицом членства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такой индивидуальный предприниматель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или такое юридическое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лицо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одного года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могут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вновь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приняты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члены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5.11. Решение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 исключении из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перечень оснований для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исключения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 членов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установленный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настоящим Положением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(или)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иными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внутренними документами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могут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быть обжалованы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арбитражный суд, а также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третейский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суд, сформированный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Национальным объединением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изыскателей и проектировщиков.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2"/>
        <w:ind w:firstLine="567"/>
        <w:jc w:val="center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З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АКЛЮЧИТЕЛЬНЫЕ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ind w:firstLine="567"/>
        <w:jc w:val="both"/>
        <w:tabs>
          <w:tab w:val="left" w:pos="-156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02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Настоящее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оложение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внесенные в него изменения, 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организаций.</w:t>
      </w:r>
      <w:r>
        <w:rPr>
          <w:rFonts w:ascii="Times New Roman" w:hAnsi="Times New Roman" w:cs="Times New Roman"/>
          <w:color w:val="000000" w:themeColor="text1"/>
          <w:sz w:val="24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pStyle w:val="802"/>
        <w:jc w:val="both"/>
        <w:tabs>
          <w:tab w:val="left" w:pos="-1560" w:leader="none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</w:rPr>
      </w:r>
      <w:r>
        <w:rPr>
          <w:rFonts w:ascii="Times New Roman" w:hAnsi="Times New Roman" w:cs="Times New Roman"/>
          <w:color w:val="000000" w:themeColor="text1"/>
          <w:sz w:val="24"/>
        </w:rPr>
      </w:r>
    </w:p>
    <w:p>
      <w:pPr>
        <w:contextualSpacing w:val="0"/>
        <w:jc w:val="center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***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3">
    <w:name w:val="Heading 1"/>
    <w:basedOn w:val="961"/>
    <w:next w:val="961"/>
    <w:link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4">
    <w:name w:val="Heading 1 Char"/>
    <w:link w:val="783"/>
    <w:uiPriority w:val="9"/>
    <w:rPr>
      <w:rFonts w:ascii="Arial" w:hAnsi="Arial" w:eastAsia="Arial" w:cs="Arial"/>
      <w:sz w:val="40"/>
      <w:szCs w:val="40"/>
    </w:rPr>
  </w:style>
  <w:style w:type="paragraph" w:styleId="785">
    <w:name w:val="Heading 2"/>
    <w:basedOn w:val="961"/>
    <w:next w:val="961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6">
    <w:name w:val="Heading 2 Char"/>
    <w:link w:val="785"/>
    <w:uiPriority w:val="9"/>
    <w:rPr>
      <w:rFonts w:ascii="Arial" w:hAnsi="Arial" w:eastAsia="Arial" w:cs="Arial"/>
      <w:sz w:val="34"/>
    </w:rPr>
  </w:style>
  <w:style w:type="paragraph" w:styleId="787">
    <w:name w:val="Heading 3"/>
    <w:basedOn w:val="961"/>
    <w:next w:val="961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8">
    <w:name w:val="Heading 3 Char"/>
    <w:link w:val="787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961"/>
    <w:next w:val="961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961"/>
    <w:next w:val="961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961"/>
    <w:next w:val="961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961"/>
    <w:next w:val="961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961"/>
    <w:next w:val="961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961"/>
    <w:next w:val="961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961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before="0" w:after="0" w:line="240" w:lineRule="auto"/>
    </w:pPr>
  </w:style>
  <w:style w:type="paragraph" w:styleId="803">
    <w:name w:val="Title"/>
    <w:basedOn w:val="961"/>
    <w:next w:val="961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>
    <w:name w:val="Title Char"/>
    <w:link w:val="803"/>
    <w:uiPriority w:val="10"/>
    <w:rPr>
      <w:sz w:val="48"/>
      <w:szCs w:val="48"/>
    </w:rPr>
  </w:style>
  <w:style w:type="paragraph" w:styleId="805">
    <w:name w:val="Subtitle"/>
    <w:basedOn w:val="961"/>
    <w:next w:val="961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>
    <w:name w:val="Subtitle Char"/>
    <w:link w:val="805"/>
    <w:uiPriority w:val="11"/>
    <w:rPr>
      <w:sz w:val="24"/>
      <w:szCs w:val="24"/>
    </w:rPr>
  </w:style>
  <w:style w:type="paragraph" w:styleId="807">
    <w:name w:val="Quote"/>
    <w:basedOn w:val="961"/>
    <w:next w:val="961"/>
    <w:link w:val="808"/>
    <w:uiPriority w:val="29"/>
    <w:qFormat/>
    <w:pPr>
      <w:ind w:left="720" w:right="720"/>
    </w:pPr>
    <w:rPr>
      <w:i/>
    </w:rPr>
  </w:style>
  <w:style w:type="character" w:styleId="808">
    <w:name w:val="Quote Char"/>
    <w:link w:val="807"/>
    <w:uiPriority w:val="29"/>
    <w:rPr>
      <w:i/>
    </w:rPr>
  </w:style>
  <w:style w:type="paragraph" w:styleId="809">
    <w:name w:val="Intense Quote"/>
    <w:basedOn w:val="961"/>
    <w:next w:val="961"/>
    <w:link w:val="8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Intense Quote Char"/>
    <w:link w:val="809"/>
    <w:uiPriority w:val="30"/>
    <w:rPr>
      <w:i/>
    </w:rPr>
  </w:style>
  <w:style w:type="paragraph" w:styleId="811">
    <w:name w:val="Header"/>
    <w:basedOn w:val="961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2">
    <w:name w:val="Header Char"/>
    <w:link w:val="811"/>
    <w:uiPriority w:val="99"/>
  </w:style>
  <w:style w:type="paragraph" w:styleId="813">
    <w:name w:val="Footer"/>
    <w:basedOn w:val="961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Footer Char"/>
    <w:link w:val="813"/>
    <w:uiPriority w:val="99"/>
  </w:style>
  <w:style w:type="paragraph" w:styleId="815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>
    <w:name w:val="Caption Char"/>
    <w:basedOn w:val="815"/>
    <w:link w:val="813"/>
    <w:uiPriority w:val="99"/>
  </w:style>
  <w:style w:type="table" w:styleId="8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3">
    <w:name w:val="Hyperlink"/>
    <w:uiPriority w:val="99"/>
    <w:unhideWhenUsed/>
    <w:rPr>
      <w:color w:val="0000ff" w:themeColor="hyperlink"/>
      <w:u w:val="single"/>
    </w:r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next w:val="961"/>
    <w:link w:val="961"/>
    <w:qFormat/>
    <w:rPr>
      <w:lang w:val="ru-RU" w:eastAsia="ru-RU" w:bidi="ar-SA"/>
    </w:rPr>
  </w:style>
  <w:style w:type="paragraph" w:styleId="962">
    <w:name w:val="Заголовок 1"/>
    <w:basedOn w:val="961"/>
    <w:next w:val="962"/>
    <w:link w:val="975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63">
    <w:name w:val="Заголовок 2"/>
    <w:basedOn w:val="961"/>
    <w:next w:val="961"/>
    <w:link w:val="982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64">
    <w:name w:val="Основной шрифт абзаца"/>
    <w:next w:val="964"/>
    <w:link w:val="961"/>
    <w:uiPriority w:val="1"/>
    <w:unhideWhenUsed/>
  </w:style>
  <w:style w:type="table" w:styleId="965">
    <w:name w:val="Обычная таблица"/>
    <w:next w:val="965"/>
    <w:link w:val="961"/>
    <w:uiPriority w:val="99"/>
    <w:semiHidden/>
    <w:unhideWhenUsed/>
    <w:qFormat/>
    <w:tblPr/>
  </w:style>
  <w:style w:type="numbering" w:styleId="966">
    <w:name w:val="Нет списка"/>
    <w:next w:val="966"/>
    <w:link w:val="961"/>
    <w:uiPriority w:val="99"/>
    <w:semiHidden/>
    <w:unhideWhenUsed/>
  </w:style>
  <w:style w:type="paragraph" w:styleId="967">
    <w:name w:val="Без интервала"/>
    <w:next w:val="967"/>
    <w:link w:val="968"/>
    <w:uiPriority w:val="1"/>
    <w:qFormat/>
    <w:rPr>
      <w:sz w:val="22"/>
      <w:szCs w:val="22"/>
      <w:lang w:val="ru-RU" w:eastAsia="en-US" w:bidi="ar-SA"/>
    </w:rPr>
  </w:style>
  <w:style w:type="character" w:styleId="968">
    <w:name w:val="Без интервала Знак"/>
    <w:next w:val="968"/>
    <w:link w:val="967"/>
    <w:uiPriority w:val="1"/>
    <w:rPr>
      <w:sz w:val="22"/>
      <w:szCs w:val="22"/>
      <w:lang w:val="ru-RU" w:eastAsia="en-US" w:bidi="ar-SA"/>
    </w:rPr>
  </w:style>
  <w:style w:type="paragraph" w:styleId="969">
    <w:name w:val="Нижний колонтитул"/>
    <w:basedOn w:val="961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70">
    <w:name w:val="Нижний колонтитул Знак"/>
    <w:next w:val="970"/>
    <w:link w:val="969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71">
    <w:name w:val="Строгий"/>
    <w:next w:val="971"/>
    <w:link w:val="961"/>
    <w:uiPriority w:val="22"/>
    <w:qFormat/>
    <w:rPr>
      <w:b/>
      <w:bCs/>
      <w:color w:val="943634"/>
      <w:spacing w:val="5"/>
    </w:rPr>
  </w:style>
  <w:style w:type="paragraph" w:styleId="972">
    <w:name w:val="Обычный (Интернет),Обычный (веб)"/>
    <w:basedOn w:val="961"/>
    <w:next w:val="972"/>
    <w:link w:val="961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73">
    <w:name w:val="Верхний колонтитул"/>
    <w:basedOn w:val="961"/>
    <w:next w:val="973"/>
    <w:link w:val="9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4">
    <w:name w:val="Верхний колонтитул Знак"/>
    <w:basedOn w:val="964"/>
    <w:next w:val="974"/>
    <w:link w:val="973"/>
    <w:uiPriority w:val="99"/>
  </w:style>
  <w:style w:type="character" w:styleId="975">
    <w:name w:val="Заголовок 1 Знак"/>
    <w:next w:val="975"/>
    <w:link w:val="962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76">
    <w:name w:val="Основной текст"/>
    <w:basedOn w:val="961"/>
    <w:next w:val="976"/>
    <w:link w:val="977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77">
    <w:name w:val="Основной текст Знак"/>
    <w:next w:val="977"/>
    <w:link w:val="976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78">
    <w:name w:val="Абзац списка"/>
    <w:basedOn w:val="961"/>
    <w:next w:val="978"/>
    <w:link w:val="961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79">
    <w:name w:val="Table Paragraph"/>
    <w:basedOn w:val="961"/>
    <w:next w:val="979"/>
    <w:link w:val="961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80">
    <w:name w:val="ConsPlusNormal"/>
    <w:next w:val="980"/>
    <w:link w:val="96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81">
    <w:name w:val="Гиперссылка"/>
    <w:next w:val="981"/>
    <w:link w:val="961"/>
    <w:uiPriority w:val="99"/>
    <w:unhideWhenUsed/>
    <w:rPr>
      <w:color w:val="0000ff"/>
      <w:u w:val="single"/>
    </w:rPr>
  </w:style>
  <w:style w:type="character" w:styleId="982">
    <w:name w:val="Заголовок 2 Знак"/>
    <w:next w:val="982"/>
    <w:link w:val="963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983">
    <w:name w:val="Цитата 2"/>
    <w:basedOn w:val="961"/>
    <w:next w:val="961"/>
    <w:link w:val="984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984">
    <w:name w:val="Цитата 2 Знак"/>
    <w:next w:val="984"/>
    <w:link w:val="983"/>
    <w:uiPriority w:val="29"/>
    <w:rPr>
      <w:rFonts w:eastAsia="Times New Roman"/>
      <w:i/>
      <w:iCs/>
      <w:color w:val="000000"/>
      <w:lang w:val="en-US" w:eastAsia="en-US"/>
    </w:rPr>
  </w:style>
  <w:style w:type="paragraph" w:styleId="985">
    <w:name w:val="Текст выноски"/>
    <w:basedOn w:val="961"/>
    <w:next w:val="985"/>
    <w:link w:val="986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986">
    <w:name w:val="Текст выноски Знак"/>
    <w:next w:val="986"/>
    <w:link w:val="985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987">
    <w:name w:val="ConsNonformat"/>
    <w:next w:val="987"/>
    <w:link w:val="961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88">
    <w:name w:val="apple-converted-space"/>
    <w:next w:val="988"/>
    <w:link w:val="961"/>
  </w:style>
  <w:style w:type="paragraph" w:styleId="989">
    <w:name w:val="Обычный1"/>
    <w:next w:val="989"/>
    <w:link w:val="961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990">
    <w:name w:val="ТЕКСТ№"/>
    <w:basedOn w:val="961"/>
    <w:next w:val="990"/>
    <w:link w:val="961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991">
    <w:name w:val="ТЕКСТ"/>
    <w:basedOn w:val="961"/>
    <w:next w:val="991"/>
    <w:link w:val="961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992">
    <w:name w:val="Цветовое выделение"/>
    <w:next w:val="992"/>
    <w:link w:val="961"/>
    <w:rPr>
      <w:b/>
      <w:bCs/>
      <w:color w:val="000080"/>
    </w:rPr>
  </w:style>
  <w:style w:type="paragraph" w:styleId="993">
    <w:name w:val=".FORMATTEXT"/>
    <w:next w:val="993"/>
    <w:link w:val="961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994">
    <w:name w:val="formattext"/>
    <w:next w:val="994"/>
    <w:link w:val="961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995">
    <w:name w:val="fontstyle01"/>
    <w:next w:val="995"/>
    <w:link w:val="961"/>
    <w:rPr>
      <w:rFonts w:ascii="TimesNewRomanPSMT" w:hAnsi="TimesNewRomanPSMT"/>
      <w:color w:val="000000"/>
      <w:sz w:val="24"/>
      <w:szCs w:val="24"/>
    </w:rPr>
  </w:style>
  <w:style w:type="paragraph" w:styleId="996">
    <w:name w:val="Основной текст с отступом"/>
    <w:basedOn w:val="961"/>
    <w:next w:val="996"/>
    <w:link w:val="997"/>
    <w:uiPriority w:val="99"/>
    <w:semiHidden/>
    <w:unhideWhenUsed/>
    <w:pPr>
      <w:ind w:left="283"/>
      <w:spacing w:after="120"/>
    </w:pPr>
  </w:style>
  <w:style w:type="character" w:styleId="997">
    <w:name w:val="Основной текст с отступом Знак"/>
    <w:basedOn w:val="964"/>
    <w:next w:val="997"/>
    <w:link w:val="996"/>
    <w:uiPriority w:val="99"/>
    <w:semiHidden/>
  </w:style>
  <w:style w:type="character" w:styleId="998">
    <w:name w:val="info-property-value"/>
    <w:next w:val="998"/>
    <w:link w:val="961"/>
  </w:style>
  <w:style w:type="numbering" w:styleId="999">
    <w:name w:val="Нет списка1"/>
    <w:next w:val="966"/>
    <w:link w:val="961"/>
    <w:uiPriority w:val="99"/>
    <w:semiHidden/>
    <w:unhideWhenUsed/>
  </w:style>
  <w:style w:type="paragraph" w:styleId="1000">
    <w:name w:val="ppub"/>
    <w:basedOn w:val="961"/>
    <w:next w:val="1000"/>
    <w:link w:val="961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01">
    <w:name w:val="Сетка таблицы"/>
    <w:basedOn w:val="965"/>
    <w:next w:val="1001"/>
    <w:link w:val="961"/>
    <w:uiPriority w:val="59"/>
    <w:tblPr/>
  </w:style>
  <w:style w:type="paragraph" w:styleId="1002">
    <w:name w:val="Схема документа"/>
    <w:basedOn w:val="961"/>
    <w:next w:val="1002"/>
    <w:link w:val="1003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03">
    <w:name w:val="Схема документа Знак"/>
    <w:next w:val="1003"/>
    <w:link w:val="100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04">
    <w:name w:val="Font Style18"/>
    <w:next w:val="1004"/>
    <w:link w:val="961"/>
    <w:uiPriority w:val="99"/>
    <w:rPr>
      <w:sz w:val="26"/>
      <w:szCs w:val="26"/>
    </w:rPr>
  </w:style>
  <w:style w:type="paragraph" w:styleId="1005">
    <w:name w:val="ConsNormal"/>
    <w:next w:val="1005"/>
    <w:link w:val="961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06">
    <w:name w:val="Основной текст 3"/>
    <w:basedOn w:val="961"/>
    <w:next w:val="1006"/>
    <w:link w:val="1007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07">
    <w:name w:val="Основной текст 3 Знак"/>
    <w:next w:val="1007"/>
    <w:link w:val="1006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08">
    <w:name w:val="Знак примечания"/>
    <w:next w:val="1008"/>
    <w:link w:val="961"/>
    <w:uiPriority w:val="99"/>
    <w:semiHidden/>
    <w:unhideWhenUsed/>
    <w:rPr>
      <w:sz w:val="16"/>
      <w:szCs w:val="16"/>
    </w:rPr>
  </w:style>
  <w:style w:type="paragraph" w:styleId="1009">
    <w:name w:val="Текст примечания"/>
    <w:basedOn w:val="961"/>
    <w:next w:val="1009"/>
    <w:link w:val="1010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10">
    <w:name w:val="Текст примечания Знак"/>
    <w:next w:val="1010"/>
    <w:link w:val="1009"/>
    <w:uiPriority w:val="99"/>
    <w:semiHidden/>
    <w:rPr>
      <w:lang w:eastAsia="en-US"/>
    </w:rPr>
  </w:style>
  <w:style w:type="paragraph" w:styleId="1011">
    <w:name w:val="Тема примечания"/>
    <w:basedOn w:val="1009"/>
    <w:next w:val="1009"/>
    <w:link w:val="1012"/>
    <w:uiPriority w:val="99"/>
    <w:semiHidden/>
    <w:unhideWhenUsed/>
    <w:rPr>
      <w:b/>
      <w:bCs/>
    </w:rPr>
  </w:style>
  <w:style w:type="character" w:styleId="1012">
    <w:name w:val="Тема примечания Знак"/>
    <w:next w:val="1012"/>
    <w:link w:val="1011"/>
    <w:uiPriority w:val="99"/>
    <w:semiHidden/>
    <w:rPr>
      <w:b/>
      <w:bCs/>
      <w:lang w:eastAsia="en-US"/>
    </w:rPr>
  </w:style>
  <w:style w:type="character" w:styleId="1013" w:default="1">
    <w:name w:val="Default Paragraph Font"/>
    <w:uiPriority w:val="1"/>
    <w:semiHidden/>
    <w:unhideWhenUsed/>
  </w:style>
  <w:style w:type="numbering" w:styleId="1014" w:default="1">
    <w:name w:val="No List"/>
    <w:uiPriority w:val="99"/>
    <w:semiHidden/>
    <w:unhideWhenUsed/>
  </w:style>
  <w:style w:type="table" w:styleId="1015" w:default="1">
    <w:name w:val="Normal Table"/>
    <w:uiPriority w:val="99"/>
    <w:semiHidden/>
    <w:unhideWhenUsed/>
    <w:tblPr/>
  </w:style>
  <w:style w:type="paragraph" w:styleId="1016" w:customStyle="1">
    <w:name w:val=".HEADERTEXT"/>
    <w:next w:val="897"/>
    <w:link w:val="85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hyperlink" Target="https://normativ.kontur.ru/document?moduleid=1&amp;documentid=276064" TargetMode="External"/><Relationship Id="rId13" Type="http://schemas.openxmlformats.org/officeDocument/2006/relationships/hyperlink" Target="https://normativ.kontur.ru/document?moduleid=1&amp;documentid=276064" TargetMode="External"/><Relationship Id="rId14" Type="http://schemas.openxmlformats.org/officeDocument/2006/relationships/hyperlink" Target="https://fzakon.ru/gradostroitelnyy-kodeks/statya-55.16/" TargetMode="External"/><Relationship Id="rId15" Type="http://schemas.openxmlformats.org/officeDocument/2006/relationships/hyperlink" Target="https://fzakon.ru/gradostroitelnyy-kodeks/statya-55.16/" TargetMode="External"/><Relationship Id="rId16" Type="http://schemas.openxmlformats.org/officeDocument/2006/relationships/hyperlink" Target="https://fzakon.ru/gradostroitelnyy-kodeks/statya-55.16/" TargetMode="External"/><Relationship Id="rId17" Type="http://schemas.openxmlformats.org/officeDocument/2006/relationships/hyperlink" Target="https://fzakon.ru/gradostroitelnyy-kodeks/statya-55.1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24</cp:revision>
  <dcterms:created xsi:type="dcterms:W3CDTF">2023-02-27T06:50:00Z</dcterms:created>
  <dcterms:modified xsi:type="dcterms:W3CDTF">2024-05-28T12:55:04Z</dcterms:modified>
  <cp:version>1048576</cp:version>
</cp:coreProperties>
</file>