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962" w:firstLine="540"/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Перечень документов, введенных в информационный банк Консультант Плюс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pravo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gov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ind w:right="-962" w:firstLine="540"/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 июня</w:t>
      </w:r>
      <w:bookmarkStart w:id="0" w:name="_GoBack"/>
      <w:r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 августа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2024 г.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tbl>
      <w:tblPr>
        <w:tblStyle w:val="694"/>
        <w:tblpPr w:horzAnchor="text" w:tblpXSpec="left" w:vertAnchor="text" w:tblpY="1" w:leftFromText="180" w:topFromText="0" w:rightFromText="180" w:bottomFromText="0"/>
        <w:tblW w:w="15021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410"/>
        <w:gridCol w:w="8080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проекта правового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(Субъект права законодательной инициативы)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/>
            <w:hyperlink r:id="rId10" w:tooltip="http://publication.pravo.gov.ru/document/0001202408080068" w:history="1">
              <w:r>
                <w:rPr>
                  <w:rStyle w:val="693"/>
                  <w:rFonts w:ascii="Times New Roman" w:hAnsi="Times New Roman" w:cs="Times New Roman"/>
                  <w:sz w:val="26"/>
                  <w:szCs w:val="26"/>
                </w:rPr>
                <w:t xml:space="preserve">Федеральный закон № 261-ФЗ «О внесении изменений в Градостроительный кодекс Российской Федерации и отдельные законодательные акты Российской Федерации».</w:t>
              </w:r>
            </w:hyperlink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Правительство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Федеральным законом предусматривается возможность перечисления кредитными организациями средств компенсационных фондов саморегулируемых организаций на уплату налога, взимаемого в 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применением упрощенной системы налогообложения, исчисленного с дохода, полученного от размещения средств компенсационных фондов в кредитных организациях, при этом устанавливается запрет на инвестирование средств компенсационного фонда возмещения вреда.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Градостроительный кодекс Российской Федерации также вносятся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изменения, устанавливающие, что формирование и ведение реестра документов, сведений, материалов, согласований, предусмотренных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нормативными правовыми актами Российской Федерации и необходимых для выполнения мероприятий при реализации проекта по строительству, может осуществляться, в том числе подведомственным Минстрою России государственным (бюджетным или автономным) учреждением.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Предусматривается возможность признания в качестве типовой проектной документации (по решению уполномоченного Правительством Российской Федерации федерального органа исполнительной власти) проектной документаци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объекта капитального строительства, подготовленной в целях неоднократного применения при архитектурно-строительном проектировании объектов капитального строительства и получившей положительное заключение государственной экспертизы проектной документации.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Настоящий Федеральный закон вступает в силу с 1 сентября 2024 года, за исключением положений, для которых установлены иные сроки вступления их в силу (статьи 8 и 2-7 Федерального закона).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/>
            <w:hyperlink r:id="rId11" w:tooltip="http://publication.pravo.gov.ru/document/0001202408080099" w:history="1">
              <w:r>
                <w:rPr>
                  <w:rStyle w:val="693"/>
                  <w:rFonts w:ascii="Times New Roman" w:hAnsi="Times New Roman" w:cs="Times New Roman"/>
                  <w:color w:val="ff0000"/>
                  <w:sz w:val="26"/>
                  <w:szCs w:val="26"/>
                </w:rPr>
                <w:t xml:space="preserve">Федеральный закон № 280-ФЗ «О внесении изменений в статьи 48 и 52 Градостроительного кодекса Российской Федерации».</w:t>
              </w:r>
            </w:hyperlink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Минстрой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Федеральным законом вносятся изменения в статьи 48 и 52 Градостроительного кодекс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Российской Федерации, устанавливающие возможность осуществления архитектурно-строительного проектирования, строительства, реконструкции объектов капитального строительства без подготовки рабочей документации (только на основании проектной документации).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Предусматривается, что случаи, при которых для строительства, реконструкции объекта капитального строительства не требуется подготовка рабочей документации, могут быть установлены Правительством Российской Федерации.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Федерального закона потребует принятия Правительством Российской Федерации нормативного правового акта.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Настоящий Федеральный закон вступает в силу с 1 сентября 2024 года.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/>
            <w:hyperlink r:id="rId12" w:tooltip="https://www.consultant.ru/cons/cgi/online.cgi?req=doc&amp;rnd=8fk6YA&amp;base=LAW&amp;n=477764#pw6VdEUqcgJG8JU92" w:anchor="pw6VdEUqcgJG8JU92" w:history="1">
              <w:r>
                <w:rPr>
                  <w:rStyle w:val="693"/>
                  <w:rFonts w:ascii="Times New Roman" w:hAnsi="Times New Roman" w:cs="Times New Roman"/>
                  <w:sz w:val="26"/>
                  <w:szCs w:val="26"/>
                </w:rPr>
                <w:t xml:space="preserve">Постановление Правительства РФ от 31.05.2024 N 737"Об утверждении Правил согласования строительства объектов к</w:t>
              </w:r>
              <w:r>
                <w:rPr>
                  <w:rStyle w:val="693"/>
                  <w:rFonts w:ascii="Times New Roman" w:hAnsi="Times New Roman" w:cs="Times New Roman"/>
                  <w:sz w:val="26"/>
                  <w:szCs w:val="26"/>
                </w:rPr>
                <w:t xml:space="preserve">апитального строительства в границах земельных участков, необходимых для разведки и добычи полезных ископаемых, если земельный участок расположен в границах месторождений полезных ископаемых, запасы которых учтены государственным балансом запасов полезных </w:t>
              </w:r>
              <w:r>
                <w:rPr>
                  <w:rStyle w:val="693"/>
                  <w:rFonts w:ascii="Times New Roman" w:hAnsi="Times New Roman" w:cs="Times New Roman"/>
                  <w:sz w:val="26"/>
                  <w:szCs w:val="26"/>
                </w:rPr>
                <w:t xml:space="preserve">ископаемых, и (или) в границах участков недр, предоставленных в пользование в виде горного отвода"</w:t>
              </w:r>
            </w:hyperlink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Правительство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Установлены правила согласования строительства объектов капитального строительства в границах земельных участков, необходимых для разведки и добычи полезных ископаемых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 определяет порядок согласования строительства объектов капиталь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 строительства в границах земельных участков, необходимых для разведки и добычи полезных ископаемых, если земельный участок расположен в границах месторождений полезных ископаемых, запасы которых учтены государственным балансом запасов полезных ископае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мых, и (или) в границах участков недр, предоставленных в пользование в виде горного отвода, при осуществлении заинтересованными физическими и юридическими лицами, а также ИП строительства объектов капитального строительства за границами населенных пунктов.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Если в соответствии со специальными картами (схемами) земельный участок расположен в границах месторождений полезных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ископаемых, запасы которых учтены государственным балансом запасов полезн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 ископаемых, и (или) в границах участков недр, предоставленных в пользование в виде горного отвода, строительство объектов капитального строительства в границах такого земельного участка допускается после согласования с комиссией, создаваемой Роснедрами.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случае же, если земельный участок расположен в границах месторождений общераспространенных полезных ископаемых, запасы которых учтены государственным балансом запасов полезных ископаемых, и (или) в границах участков недр местного значения,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предоставленных в пользование в виде горного отвода, строительство объектов капитального строительства в границах такого земельного участка допускается после согласования с комиссией, создаваемой органом государственной власти соответствующего субъекта РФ.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Настоящее постановление вступает в силу с 1 сентября 2024 года и действует по 31 августа 2030 года.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69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"https://www.consultant.ru/cons/cgi/online.cgi?req=doc&amp;rnd=ZHcrag&amp;base=LAW&amp;n=477567" \l "SXjvhEU8Kvr5eN5x"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Российской Федерации от 30.05.2024 № 708</w:t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Style w:val="69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t xml:space="preserve">"Об утверждении требований к содержанию результатов применения предусмотренных частью 6 статьи 15 Федера</w:t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t xml:space="preserve">льного закона "Технический регламент о безопасности зданий и сооружений"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</w:t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t xml:space="preserve">сооружений, процессов, осуществляемых на всех этапах их жизненного цикла, требованиям, установленным указанным Федеральным законом, порядку их подготовки и утверждения".</w:t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Минстрой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Постановление издано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связи с утверждением Федерального закона от 25.12.2023 N 653-ФЗ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"О внесении изменений в Федеральный закон "Технический регламент о безопасности зданий и сооружений" и отдельные законодательные акты Российской Федерации".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 сентября 2024 года устанавливаются требования к содержанию, порядку подготовки и утверждения результатов применения способов обоснования соответствия архи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тектурных, функционально-технологических, конструктивных, инженерно-технических и иных решений и мероприятий, содержащихся в проектной документации, требованиям, предусмотренным Федеральным законом "Технический регламент о безопасности зданий и сооружений"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утверждены: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- требования к содержанию результатов применения предусмотренных частью 6 статьи 15 Федерального закона "Технический регламент о безопасности зданий и сооружений" способов обоснования соответствия архитектурных, функционально-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- требования к порядку подготовки и утверждения результатов применения предусмотренных частью 6 статьи 15 Федерального закона "Технический регламент о безопасности зданий и сооружений" способов обоснования соответствия архитектурных, функциона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применения способов обоснования представляют собой документ, содержащий материалы в текстовой и (или) графической формах и состоящий из: титульного листа; введени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я; основной части; выводов по результатам применения способов обоснования; сведений о физических, юридических лицах и (или) индивидуальных предпринимателях, осуществивших применение способов обоснования и подготовивших результаты их применения; приложения.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результатам применения способов обоснования прилагаются необходимые документы и материалы.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69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"http://publication.pravo.gov.ru/document/0001202406060015"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t xml:space="preserve">Приказ Министерства строительства и жилищно-коммунального хозяйства Российской Федерации от 27.04.2024      № 290/пр «О внесении изменения в перечень индикаторов риска нарушения обязательных требований по </w:t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t xml:space="preserve">федеральному государственному строительному надзору, утвержденный приказом Министерства строительства и жилищно-коммунального хозяйства Российской Федерации от 21 декабря 2021 г. № 979/пр».</w:t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t xml:space="preserve">(Зарегистрирован 05.06.2024 № 78482)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Минстрой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еречень индикаторов риска нарушения обязательных требований по федеральному государственному строительному надзору, утвержденный приказом Министерства строительства и жилищно-коммунального хозяйства Российской Федерации от 21 декабря 2021 г. № 979/пр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дополнен пунктом 8 следующего содержания: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«8. Внесение четырех или более изменений в соответствии с частью 3.8 статьи 49 Градостроительного кодекса Российской Федерации в проектную документацию строящегося, реконструируемого объекта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капитального строительства, получившую положительное заключение государственной экспертизы проектной документации, в течение календарного года.».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69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"https://www.consultant.ru/cons/cgi/online.cgi?req=doc&amp;rnd=t9Dxg&amp;base=LAW&amp;n=478346" \l "CNgFIFUuZjD0rsLm"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t xml:space="preserve">Приказ Минюста России о</w:t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t xml:space="preserve">т 05.06.2024 N 180"Об утверждении Порядка и сроков размещения некоммерческими организациями (за исключением политических партий) устава на информационном ресурсе Министерства юстиции Российской Федерации в информационно-телекоммуникационной сети "Интернет"</w:t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t xml:space="preserve">Зарегистрировано в Минюсте России 07.06.2024 N 78489.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Минюст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pStyle w:val="696"/>
              <w:jc w:val="both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Установлены порядок и сроки размещения некоммерческими организациями устава на информационном ресурсе Минюста в сети "Интернет".</w:t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696"/>
              <w:jc w:val="both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Закреплено, что некоммерческие организации (за исключением политических партий) в течение 30 календарных дней со дня их государственной регистрации размещают устав на информационном ресурсе Минюста в сети "Интернет" посредством личного кабинета.</w:t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696"/>
              <w:jc w:val="both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Настоящий приказ вступает в силу с 1 января 2025 года. Размещение устава некоммерческими организациями, зарегистрированными до вступления в силу настоящего приказа, осуществляется до 1 апреля 2025 года.</w:t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696"/>
              <w:jc w:val="both"/>
              <w:spacing w:before="0" w:beforeAutospacing="0" w:after="0" w:afterAutospacing="0" w:line="288" w:lineRule="atLeast"/>
            </w:pPr>
            <w:r>
              <w:rPr>
                <w:bCs/>
              </w:rPr>
              <w:t xml:space="preserve"> 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69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"https://www.consultant.ru/cons/cgi/online.cgi?req=doc&amp;rnd=MPJ7sg&amp;base=LAW&amp;n=478767" \l "ZLYCwFU8IlYuo0IC1"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t xml:space="preserve">Приказ Госкорпорации "Росатом" от 05.03.2024               N 1/2-НПА «Об утверждении Административного регламента предоставления Государственной корпорацией по атомной энергии "Росатом" государственной услуги по выдаче разрешений на строительство объектов </w:t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t xml:space="preserve">использования атомной энергии в случаях строительства, реконструкции указанных объектов и выдаче разрешений на ввод в эксплуатацию указанных объектов».</w:t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t xml:space="preserve">Зарегистрировано в Минюсте России 13.06.2024 N 78540.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ГК «Росатом»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Актуализирован административный регламент предоставления ГК "Росатом" государственной услуги по выдаче разрешений на строительство объектов использования атомной энергии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Настоящий регламент устанавливает, в числе прочего, порядок и стандарт предоставления государственной услуги, варианты ее предоставления, состав, последовательность и сроки выполнения административных процедур.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Признается утратившим силу Приказ Госкорпорации "Росатом" от 07.08.2018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N 1/25-НПА, которым утвержден аналогичный административный регламент.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pStyle w:val="696"/>
              <w:jc w:val="both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/>
            <w:hyperlink r:id="rId13" w:tooltip="https://www.consultant.ru/cons/cgi/online.cgi?req=doc&amp;rnd=ysiGAw&amp;base=LAW&amp;n=479502#SSkznGUUdRDUse3U1" w:anchor="SSkznGUUdRDUse3U1" w:history="1">
              <w:r>
                <w:rPr>
                  <w:rStyle w:val="693"/>
                  <w:rFonts w:ascii="Times New Roman" w:hAnsi="Times New Roman" w:cs="Times New Roman"/>
                  <w:sz w:val="26"/>
                  <w:szCs w:val="26"/>
                </w:rPr>
                <w:t xml:space="preserve">Письмо Минстроя России от 17.06.2024 N 33734-СМ/08 «Об изменении с 1 января 2024 года законодательства в области строительства».</w:t>
              </w:r>
            </w:hyperlink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Минстрой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Минстрой информирует о новых требованиях в строительной сфере, вступающих в силу с 1 сентября 2024 года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Установлено, в частности, что стандарт организации является одним из видов документов, в результате применения которых обеспечивается соблюдение требований Федерального закона от 30 декабря 2009 г.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N 384-ФЗ "Технический ре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гламент о безопасности зданий и сооружений" в редакции Федерального закона от 25 декабря 2023 г. N 653-ФЗ (далее - Технический регламент). Для применения стандартов организаций они должны быть зарегистрированы в Федеральном информационном фонде стандартов.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Регистрация в фонде возможна только при наличии положительного экспертного заключения со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ответствующего технического комитета. Предметом экспертизы является в том числе оценка соответствия стандарта организации международным договорам РФ, федеральным законам, актам Президента РФ, актам Правительства РФ, нормативным правовым актам федеральных о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рганов исполнительной власти, нормативным правовым актам ГК "Росатом", действующим техническим регламентам, основополагающим национальным стандартам РФ, национальным стандартам РФ, предварительным национальным стандартам РФ и межгосударственным стандартам.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Таким образом, получение положительного экспертного заключения технического комитета в отношении стандарта организации, не обеспечивающего соблюдение Технического регламента, невозможно.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При этом в стандартах организаций возможно установление альтернативных требований и, при необходимости, компенсирующих мероприятий при дополнительном обосновании того, что они обеспечивают соблюдение требований Технического регламента.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/>
            <w:hyperlink r:id="rId14" w:tooltip="https://regulation.gov.ru/Regulation/Npa/PublicView?npaID=148589" w:history="1">
              <w:r>
                <w:rPr>
                  <w:rStyle w:val="693"/>
                  <w:rFonts w:ascii="Times New Roman" w:hAnsi="Times New Roman" w:cs="Times New Roman"/>
                  <w:sz w:val="26"/>
                  <w:szCs w:val="26"/>
                </w:rPr>
                <w:t xml:space="preserve">Проект постановления Правительства Российской Федерации «О внесении изменений в некоторые акты Правительства Российской Федерации».</w:t>
              </w:r>
            </w:hyperlink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Правительство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 П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редусматривает изменение полномоч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ий рабочей группы Правительственной комиссии по региональному развитию в Российской Федерации по рассмотрению инвестиционных проектов, реализуемых в рамках комплексной государственной программы Российской Федерации "Строительство" (далее – рабочая группа).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в рамках строительства объектов капитального строительства, включаемых (включенных) в реестр объектов возникают проблемы, связанные с определением технико-экономических параметр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ов и проектных решений, содержащихся в заданиях застройщика или технического заказчика на проектирование объектов капитального строительства, строительство, реконструкция которых осуществляется с привлечением средств бюджетной системы Российской Федерации.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Указанные проблемы ведут к увеличению стоимости строительства объектов капитального строительства, необходимости корректировки проектной документации, переносу сроков ввода в эксплуатацию и т.д.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В этой связи предполагается изменение полномочий и функций рабочей групп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ы, исключив из нее участие Минфина России и Минэкономразвития России, для организации работы по рассмотрению заданий застройщика или технического заказчика на проектирование объектов капитального строительства, которые подлежат включению в реестр объектов.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693"/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color w:val="ff0000"/>
              </w:rPr>
            </w:r>
            <w:hyperlink r:id="rId15" w:tooltip="https://www.consultant.ru/cons/cgi/online.cgi?req=doc&amp;rnd=XiErMg&amp;base=LAW&amp;n=480776#0KksrIU23rmofDES1" w:anchor="0KksrIU23rmofDES1" w:history="1">
              <w:r>
                <w:rPr>
                  <w:rStyle w:val="693"/>
                  <w:rFonts w:ascii="Times New Roman" w:hAnsi="Times New Roman" w:cs="Times New Roman"/>
                  <w:color w:val="ff0000"/>
                  <w:sz w:val="26"/>
                  <w:szCs w:val="26"/>
                </w:rPr>
                <w:t xml:space="preserve">Приказ Минстроя России от 15.05.2024 N 327/пр «Об утверждении СП 50.13330.2024 «СНиП 23-02-2003 Тепловая защита зданий»</w:t>
              </w:r>
            </w:hyperlink>
            <w:r>
              <w:rPr>
                <w:color w:val="ff0000"/>
              </w:rPr>
            </w:r>
            <w:r>
              <w:rPr>
                <w:rStyle w:val="693"/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Минстрой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16 июня 2024 г. введен в действие свод правил СП 50.13330.2024 "Тепловая защита зданий"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Настоящий свод правил распространяется на проектирование тепловой защиты строящихся или реконструируемых жилых, общественных, производственных, сельскохозяйственных и складских зданий общей площадью более 50 м2, в которых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необходимо поддерживать определенный температурно-влажностный режим.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693"/>
                <w:rFonts w:ascii="Times New Roman" w:hAnsi="Times New Roman" w:cs="Times New Roman"/>
                <w:sz w:val="26"/>
                <w:szCs w:val="26"/>
              </w:rPr>
            </w:pPr>
            <w:r/>
            <w:hyperlink r:id="rId16" w:tooltip="https://www.consultant.ru/cons/cgi/online.cgi?req=doc&amp;rnd=XiErMg&amp;base=LAW&amp;n=480775#QlxsrIUGclN5SoJy1" w:anchor="QlxsrIUGclN5SoJy1" w:history="1">
              <w:r>
                <w:rPr>
                  <w:rStyle w:val="693"/>
                  <w:rFonts w:ascii="Times New Roman" w:hAnsi="Times New Roman" w:cs="Times New Roman"/>
                  <w:sz w:val="26"/>
                  <w:szCs w:val="26"/>
                </w:rPr>
                <w:t xml:space="preserve">Приказ Минстроя России от 15.05.2024 N 329/пр «Об утверждении свода правил «Конструкции оконные и балконные. Правила проектирования».</w:t>
              </w:r>
            </w:hyperlink>
            <w:r/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Минстрой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pStyle w:val="69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    </w:t>
            </w:r>
            <w:r>
              <w:rPr>
                <w:bCs/>
                <w:sz w:val="26"/>
                <w:szCs w:val="26"/>
              </w:rPr>
              <w:t xml:space="preserve">16 июня 2024 г. введен в действие свод правил 538.1325800.2024 </w:t>
            </w:r>
            <w:r>
              <w:rPr>
                <w:bCs/>
                <w:sz w:val="26"/>
                <w:szCs w:val="26"/>
              </w:rPr>
              <w:t xml:space="preserve">«</w:t>
            </w:r>
            <w:r>
              <w:rPr>
                <w:bCs/>
                <w:sz w:val="26"/>
                <w:szCs w:val="26"/>
              </w:rPr>
              <w:t xml:space="preserve">Конструкции оконные и балконные. Правила проектирования</w:t>
            </w:r>
            <w:r>
              <w:rPr>
                <w:bCs/>
                <w:sz w:val="26"/>
                <w:szCs w:val="26"/>
              </w:rPr>
              <w:t xml:space="preserve">».</w:t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69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Настоящий свод правил распространяется на проектирование оконных и балконных конструкций зданий и сооружений различн</w:t>
            </w:r>
            <w:r>
              <w:rPr>
                <w:sz w:val="26"/>
                <w:szCs w:val="26"/>
              </w:rPr>
              <w:t xml:space="preserve">ого функционального назначения.</w:t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69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Свод правил не распространяется на проектирование: </w:t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696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оконных и балконных конструкций специального назначения (противопожарных, пулестойких, взрывостойких); </w:t>
            </w:r>
            <w:r>
              <w:rPr>
                <w:sz w:val="26"/>
                <w:szCs w:val="26"/>
              </w:rPr>
            </w:r>
          </w:p>
          <w:p>
            <w:pPr>
              <w:pStyle w:val="696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балконных конструкций со стеклопакетами, применяемыми для остекления не</w:t>
            </w:r>
            <w:r>
              <w:rPr>
                <w:sz w:val="26"/>
                <w:szCs w:val="26"/>
              </w:rPr>
              <w:t xml:space="preserve">отапливаемых балконов (лоджий);</w:t>
            </w:r>
            <w:r>
              <w:rPr>
                <w:sz w:val="26"/>
                <w:szCs w:val="26"/>
              </w:rPr>
            </w:r>
          </w:p>
          <w:p>
            <w:pPr>
              <w:pStyle w:val="696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светопрозрачных фасадных конструкций по ГОСТ 33079; </w:t>
            </w:r>
            <w:r>
              <w:rPr>
                <w:sz w:val="26"/>
                <w:szCs w:val="26"/>
              </w:rPr>
            </w:r>
          </w:p>
          <w:p>
            <w:pPr>
              <w:pStyle w:val="69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оконных и балконных конструкций зданий и сооружений, которые отнесены к объектам культурного наследия (памятникам истории и культуры).</w:t>
            </w:r>
            <w:r>
              <w:rPr>
                <w:bCs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693"/>
                <w:rFonts w:ascii="Times New Roman" w:hAnsi="Times New Roman" w:cs="Times New Roman"/>
                <w:sz w:val="26"/>
                <w:szCs w:val="26"/>
              </w:rPr>
            </w:pPr>
            <w:r/>
            <w:hyperlink r:id="rId17" w:tooltip="https://www.consultant.ru/cons/cgi/online.cgi?req=doc&amp;rnd=XiErMg&amp;base=LAW&amp;n=480770#zlCtrIUi0sJhN8sp" w:anchor="zlCtrIUi0sJhN8sp" w:history="1">
              <w:r>
                <w:rPr>
                  <w:rStyle w:val="693"/>
                  <w:rFonts w:ascii="Times New Roman" w:hAnsi="Times New Roman" w:cs="Times New Roman"/>
                  <w:sz w:val="26"/>
                  <w:szCs w:val="26"/>
                </w:rPr>
                <w:t xml:space="preserve">Приказ Минстроя России от 27.05.2024 N 353/пр «Об утверждении свода правил «Научно-техническое сопровождение инженерных изысканий, проектирования и строительства. Общие положения».</w:t>
              </w:r>
            </w:hyperlink>
            <w:r/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Минстрой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pStyle w:val="69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      </w:t>
            </w:r>
            <w:r>
              <w:rPr>
                <w:bCs/>
                <w:sz w:val="26"/>
                <w:szCs w:val="26"/>
              </w:rPr>
              <w:t xml:space="preserve">Утвержден свод правил "Научно-техническое сопровождение инженерных изысканий, проектирования и строительства. Общие положения".</w:t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69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>
              <w:rPr>
                <w:bCs/>
                <w:sz w:val="26"/>
                <w:szCs w:val="26"/>
              </w:rPr>
              <w:t xml:space="preserve">Документ устанавливает требования к научно-</w:t>
            </w:r>
            <w:r>
              <w:rPr>
                <w:bCs/>
                <w:sz w:val="26"/>
                <w:szCs w:val="26"/>
              </w:rPr>
              <w:t xml:space="preserve">техническому сопровождению с учетом положений ГОСТ 27751, СП 22.13330, СП 47.13330, СП 14.13330, СП 20.13330, СП 267.1325800, СП 48.13330 в целях обеспечения надежности и механической безопасности строительных конструкций зданий, сооружений и их оснований.</w:t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696"/>
              <w:spacing w:before="0" w:beforeAutospacing="0" w:after="0" w:afterAutospacing="0" w:line="288" w:lineRule="atLeast"/>
              <w:rPr>
                <w:bCs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  <w:r>
              <w:rPr>
                <w:bCs/>
                <w:sz w:val="26"/>
                <w:szCs w:val="26"/>
              </w:rPr>
              <w:t xml:space="preserve">Свод правил вводится в действие через 1 месяц со дня издания настоящего приказа.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69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instrText xml:space="preserve"> HYPERLINK "https://www.consultant.ru/cons/cgi/online.cgi?req=doc&amp;rnd=oF4IDA&amp;base=LAW&amp;n=481031" \l "4VKAyIUDJEBdkBGE" </w:instrText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t xml:space="preserve">Минстроя России от 22.03.2024 N 206/пр «О внесении изменений в приказ Министерства строительства и жилищно-коммунального хозяйства Российской Федерации от 8 </w:t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t xml:space="preserve">июня 2018 г.                                  N 341/пр </w:t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Style w:val="69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t xml:space="preserve">Зарегистрировано в Минюсте России 17.07.2024  N 78848.</w:t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Минстрой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pStyle w:val="696"/>
              <w:spacing w:before="0" w:beforeAutospacing="0" w:after="0" w:afterAutospacing="0" w:line="288" w:lineRule="atLeast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      </w:t>
            </w:r>
            <w:r>
              <w:rPr>
                <w:bCs/>
                <w:sz w:val="26"/>
                <w:szCs w:val="26"/>
              </w:rPr>
              <w:t xml:space="preserve">Актуализированы Требования к составу, содержанию и порядку оформления заключения государственной экспертизы проектной документации и (или) результатов инженерных изысканий.</w:t>
            </w:r>
            <w:r>
              <w:rPr>
                <w:bCs/>
                <w:sz w:val="26"/>
                <w:szCs w:val="26"/>
              </w:rPr>
            </w:r>
          </w:p>
          <w:p>
            <w:pPr>
              <w:pStyle w:val="696"/>
              <w:spacing w:before="0" w:beforeAutospacing="0" w:after="0" w:afterAutospacing="0" w:line="288" w:lineRule="atLeast"/>
              <w:rPr>
                <w:bCs/>
              </w:rPr>
            </w:pPr>
            <w:r>
              <w:rPr>
                <w:bCs/>
                <w:sz w:val="26"/>
                <w:szCs w:val="26"/>
              </w:rPr>
              <w:t xml:space="preserve">     С целью реализации Федерального закона от 19.12.2022 N 541-ФЗ "О внесении изменений в Градостроительный кодекс Российской Федерации и статью 18.1 Федерального закона "О защите конкуренции" включена информация о проведении оценки </w:t>
            </w:r>
            <w:r>
              <w:rPr>
                <w:bCs/>
                <w:sz w:val="26"/>
                <w:szCs w:val="26"/>
              </w:rPr>
              <w:t xml:space="preserve">соответствия в отношении изменений, внесенных в результаты инженерных изысканий.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693"/>
                <w:rFonts w:ascii="Times New Roman" w:hAnsi="Times New Roman" w:cs="Times New Roman"/>
                <w:sz w:val="26"/>
                <w:szCs w:val="26"/>
              </w:rPr>
            </w:pPr>
            <w:r/>
            <w:hyperlink r:id="rId18" w:tooltip="https://www.consultant.ru/cons/cgi/online.cgi?req=doc&amp;rnd=25WpWQ&amp;base=LAW&amp;n=481741#VZGN6KUGfG9XDs38" w:anchor="VZGN6KUGfG9XDs38" w:history="1">
              <w:r>
                <w:rPr>
                  <w:rStyle w:val="693"/>
                  <w:rFonts w:ascii="Times New Roman" w:hAnsi="Times New Roman" w:cs="Times New Roman"/>
                  <w:sz w:val="26"/>
                  <w:szCs w:val="26"/>
                </w:rPr>
                <w:t xml:space="preserve">Письмо Минстроя России от 26.07.2024 N 19470-ОГ/08          «О разъяснении необходимости формирования и ведения информационной модели объекта капитального строительства».</w:t>
              </w:r>
            </w:hyperlink>
            <w:r/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Минстрой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pStyle w:val="696"/>
              <w:spacing w:before="0" w:beforeAutospacing="0" w:after="0" w:afterAutospacing="0" w:line="288" w:lineRule="atLeast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Cs/>
              </w:rPr>
              <w:t xml:space="preserve">Даны разъяснения по вопросу необходимости формирования и ведения информационной модели объекта капитального строительства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</w:p>
          <w:p>
            <w:pPr>
              <w:pStyle w:val="696"/>
              <w:spacing w:before="0" w:beforeAutospacing="0" w:after="0" w:afterAutospacing="0" w:line="288" w:lineRule="atLeast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Cs/>
              </w:rPr>
              <w:t xml:space="preserve">Рассмотрены соответствующие нормы</w:t>
            </w:r>
            <w:r>
              <w:rPr>
                <w:bCs/>
              </w:rPr>
              <w:t xml:space="preserve"> Градостроительного кодекса РФ.</w:t>
            </w:r>
            <w:r>
              <w:rPr>
                <w:bCs/>
              </w:rPr>
            </w:r>
          </w:p>
          <w:p>
            <w:pPr>
              <w:pStyle w:val="696"/>
              <w:spacing w:before="0" w:beforeAutospacing="0" w:after="0" w:afterAutospacing="0" w:line="288" w:lineRule="atLeast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Cs/>
              </w:rPr>
              <w:t xml:space="preserve">Сообщается, в частности, что статьей 9.5.2 КоАП РФ пре</w:t>
            </w:r>
            <w:r>
              <w:rPr>
                <w:bCs/>
              </w:rPr>
              <w:t xml:space="preserve">дусмотрена ответственность за нарушение органами государственной власти, органами местного самоуправления, организациями, принявшими, утвердившими и выдавшими документы, материалы, которые подлежат размещению или сведения о которых подлежат размещению в го</w:t>
            </w:r>
            <w:r>
              <w:rPr>
                <w:bCs/>
              </w:rPr>
              <w:t xml:space="preserve">сударственных информационных системах обеспечения градостроительной деятельности, сроков направления соответствующих документов, материалов или сведений о них в уполномоченные на ведение таких государственных информационных систем органы местного самоуправ</w:t>
            </w:r>
            <w:r>
              <w:rPr>
                <w:bCs/>
              </w:rPr>
              <w:t xml:space="preserve">ления городских округов, органы местного самоуправления муниципальных районов или органы исполнительной власти субъектов РФ (подведомственные им государственные бюджетные учреждения), применительно к территориям которых принимаются, утверждаются, выдаются </w:t>
            </w:r>
            <w:r>
              <w:rPr>
                <w:bCs/>
              </w:rPr>
              <w:t xml:space="preserve">указанные документы, материалы.</w:t>
            </w:r>
            <w:r>
              <w:rPr>
                <w:bCs/>
              </w:rPr>
            </w:r>
          </w:p>
          <w:p>
            <w:pPr>
              <w:pStyle w:val="696"/>
              <w:spacing w:before="0" w:beforeAutospacing="0" w:after="0" w:afterAutospacing="0" w:line="288" w:lineRule="atLeast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Cs/>
              </w:rPr>
              <w:t xml:space="preserve">Поскольку сведения, документы и материалы включаются в государственные информационные системы обеспечения градостроительной деятельности в текстовой и графической и (или) в форме информационной модели, ответственность, предусмотренная статьей 9.5.2 КоАП Р</w:t>
            </w:r>
            <w:r>
              <w:rPr>
                <w:bCs/>
              </w:rPr>
              <w:t xml:space="preserve">Ф, установлена за нарушение сроков направления соответствующих документов, материалов или сведений о них в уполномоченные на ведение таких государственных информационных систем органы, но не за нарушение сроков формирования и ведения информационной модели.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693"/>
                <w:rFonts w:ascii="Times New Roman" w:hAnsi="Times New Roman" w:cs="Times New Roman"/>
                <w:sz w:val="26"/>
                <w:szCs w:val="26"/>
              </w:rPr>
            </w:pPr>
            <w:r/>
            <w:hyperlink r:id="rId19" w:tooltip="https://www.consultant.ru/cons/cgi/online.cgi?req=doc&amp;rnd=25WpWQ&amp;base=LAW&amp;n=481565#VLqP6KU6s66b0YR7" w:anchor="VLqP6KU6s66b0YR7" w:history="1">
              <w:r>
                <w:rPr>
                  <w:rStyle w:val="693"/>
                  <w:rFonts w:ascii="Times New Roman" w:hAnsi="Times New Roman" w:cs="Times New Roman"/>
                  <w:sz w:val="26"/>
                  <w:szCs w:val="26"/>
                </w:rPr>
                <w:t xml:space="preserve">Письмо Минстроя России от 10.07.2024 N 38814-СМ/08 «Об экспертном сопровождении».</w:t>
              </w:r>
            </w:hyperlink>
            <w:r/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Минстрой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Минстрой рекомендует использовать институт экспертного сопровождения до направления проектной документации или результатов инженерных изысканий на государственную экспертизу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pStyle w:val="696"/>
              <w:spacing w:before="0" w:beforeAutospacing="0" w:after="0" w:afterAutospacing="0" w:line="288" w:lineRule="atLeast"/>
              <w:rPr>
                <w:bCs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>
              <w:rPr>
                <w:bCs/>
                <w:sz w:val="26"/>
                <w:szCs w:val="26"/>
              </w:rPr>
              <w:t xml:space="preserve">Отмечается, что в этом случае институт экспертного сопровождения позволяет избежать неверных проектных решений на </w:t>
            </w:r>
            <w:r>
              <w:rPr>
                <w:bCs/>
                <w:sz w:val="26"/>
                <w:szCs w:val="26"/>
              </w:rPr>
              <w:t xml:space="preserve">более ранней стадии, в связи с чем будут оптимизированы затраты на всех этапах жизненного цикла объекта капитального строительства, а также в целом сократится инвестиционно-строительный цикл.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693"/>
                <w:rFonts w:ascii="Times New Roman" w:hAnsi="Times New Roman" w:cs="Times New Roman"/>
                <w:sz w:val="26"/>
                <w:szCs w:val="26"/>
              </w:rPr>
            </w:pPr>
            <w:r/>
            <w:hyperlink r:id="rId20" w:tooltip="https://www.consultant.ru/cons/cgi/online.cgi?req=doc&amp;rnd=25WpWQ&amp;base=LAW&amp;n=481493#SVbS6KUOgiSznTAB1" w:anchor="SVbS6KUOgiSznTAB1" w:history="1">
              <w:r>
                <w:rPr>
                  <w:rStyle w:val="693"/>
                  <w:rFonts w:ascii="Times New Roman" w:hAnsi="Times New Roman" w:cs="Times New Roman"/>
                  <w:sz w:val="26"/>
                  <w:szCs w:val="26"/>
                </w:rPr>
                <w:t xml:space="preserve">Письмо </w:t>
              </w:r>
              <w:r>
                <w:rPr>
                  <w:rStyle w:val="693"/>
                </w:rPr>
                <w:t xml:space="preserve"> </w:t>
              </w:r>
              <w:r>
                <w:rPr>
                  <w:rStyle w:val="693"/>
                  <w:rFonts w:ascii="Times New Roman" w:hAnsi="Times New Roman" w:cs="Times New Roman"/>
                  <w:sz w:val="26"/>
                  <w:szCs w:val="26"/>
                </w:rPr>
                <w:t xml:space="preserve">Минстроя России от 21.03.2024 N 15763-СМ/08         «О критериях отнесения строений и сооружений к строениям и сооружениям вспомогательного использования».</w:t>
              </w:r>
            </w:hyperlink>
            <w:r/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Минстрой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Даны разъяснения о критериях отнесения строений и сооружений к строениям и сооружениям вспомогательного использования.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Сообщается, в частности, что согласно подпункту 6 пункта 2 статьи 2 Федерального закона о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т 30 декабря 2009 г. N 384-ФЗ "Технический регламент о безопасности зданий и сооружений" (далее - Федеральный закон N 384-ФЗ) под зданием понимается результат строительства, представляющий собой объемную строительную систему, имеющую надземную и (или) подз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В силу подпункта 23 пункта 2 статьи 2 Федерального закона N 384-ФЗ под сооружением понимается результат строительства, представляющий собой объемную, плоскостную или линейную строительную систему, имеющую наземную, надземную и (ил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В проектной документа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ции согласно Положению о составе разделов проектной документации и требованиях к их содержанию, утвержденному Постановлением Правительства РФ от 16 февраля 2008 г. N 87, в том числе определяются технико-экономические показатели проектируемых объектов капит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ального строительства, включая площадь застройки, общую площадь, строительный объем, указываются места размещения существующих и проектируемых зданий, строений и сооружений (основного, вспомогательного, подсобного, складского и обслуживающего назначения).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Технологическая связь основного объекта со вспомогательным также определяется в проектной документации.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Таким образом, параметры объектов капитального строительства, в том числе отнесение их к вспомогательным, определяются в проектной документации.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Постановление Правительства РФ от 4 мая 2023 г. N 703 "Об утверждении критериев отнесения строений и сооружений к с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троениям и сооружениям вспомогательного использования" регламентирует случаи, при которых строения, сооружения относятся к строениям и сооружениям вспомогательного использования. При этом здания не являются предметом регулирования указанного Постановления.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Вместе с тем строения, сооружения являются объектами капитального строительства, в связи с чем относятся к объектам недвижимости.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В этой связи необходимость в уточнении критериев и наделении уполномоченных на выдачу разрешительной документации органов полномочиями по отнесению строений, сооружений к строениям и сооружениям вспомогательного использования отсутствует.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693"/>
                <w:rFonts w:ascii="Times New Roman" w:hAnsi="Times New Roman" w:cs="Times New Roman"/>
                <w:sz w:val="26"/>
                <w:szCs w:val="26"/>
              </w:rPr>
            </w:pPr>
            <w:r/>
            <w:hyperlink r:id="rId21" w:tooltip="http://publication.pravo.gov.ru/document/0001202408050007?ysclid=lzi03ufpje592402712" w:history="1">
              <w:r>
                <w:rPr>
                  <w:rStyle w:val="693"/>
                  <w:rFonts w:ascii="Times New Roman" w:hAnsi="Times New Roman" w:cs="Times New Roman"/>
                  <w:sz w:val="26"/>
                  <w:szCs w:val="26"/>
                </w:rPr>
                <w:t xml:space="preserve">Постановление Правительства РФ от 05.08.2024     № 1047        "О внесении изменений в некоторые акты Правительства Российской Федерации".</w:t>
              </w:r>
            </w:hyperlink>
            <w:r/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Правительство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 О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публиковано постановление Правительства РФ от 05.08.2024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№ 1047 "О внесении изменений в некоторые акты Правительства Российской Феде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рации".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both"/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 Постановлением актуализированы акты Правительства в связи с изменением наименования реестра требований в области инженерных изысканий, проектирования, строительства и сноса.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Документом вносятся многочисленные изменения в следующие нормативные акты: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- Правила создания, развития, эксплуатации и ведения единой государственной информационной системы обеспечения градостроительной деятельности "Стройкомплекс. РФ" (утверждены постановлением Правительства РФ 26.08.2023 № 1389);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- Правила формирования и ведения реестра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реконструкции, капитального ремонта, эксплуатации и сноса объектов капитального строительства (утверждены постановлением Правительства РФ 31.08.2023 № 1417).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693"/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color w:val="ff0000"/>
              </w:rPr>
            </w:r>
            <w:hyperlink r:id="rId22" w:tooltip="https://www.consultant.ru/law/hotdocs/85857.html?ysclid=lzjjsf52e4953592786" w:history="1">
              <w:r>
                <w:rPr>
                  <w:rStyle w:val="693"/>
                  <w:rFonts w:ascii="Times New Roman" w:hAnsi="Times New Roman" w:cs="Times New Roman"/>
                  <w:color w:val="ff0000"/>
                  <w:sz w:val="26"/>
                  <w:szCs w:val="26"/>
                </w:rPr>
                <w:t xml:space="preserve">Приказ Минстроя России от 04.07.2024 N </w:t>
              </w:r>
              <w:r>
                <w:rPr>
                  <w:rStyle w:val="693"/>
                  <w:rFonts w:ascii="Times New Roman" w:hAnsi="Times New Roman" w:cs="Times New Roman"/>
                  <w:color w:val="ff0000"/>
                  <w:sz w:val="26"/>
                  <w:szCs w:val="26"/>
                </w:rPr>
                <w:t xml:space="preserve">447/пр "О внесении изменений и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</w:t>
              </w:r>
              <w:r>
                <w:rPr>
                  <w:rStyle w:val="693"/>
                  <w:rFonts w:ascii="Times New Roman" w:hAnsi="Times New Roman" w:cs="Times New Roman"/>
                  <w:color w:val="ff0000"/>
                  <w:sz w:val="26"/>
                  <w:szCs w:val="26"/>
                </w:rPr>
                <w:t xml:space="preserve">тельного проектирования, специалистов по организации строительства, утвержденный Приказом Министерства строительства и жилищно-коммунального хозяйства Российской Федерации от 6 ноября 2020 г. N 672/пр" (Зарегистрировано в Минюсте России 05.08.2024 </w:t>
              </w:r>
              <w:r>
                <w:rPr>
                  <w:rStyle w:val="693"/>
                  <w:rFonts w:ascii="Times New Roman" w:hAnsi="Times New Roman" w:cs="Times New Roman"/>
                  <w:color w:val="ff0000"/>
                  <w:sz w:val="26"/>
                  <w:szCs w:val="26"/>
                </w:rPr>
              </w:r>
              <w:r>
                <w:rPr>
                  <w:rStyle w:val="693"/>
                  <w:rFonts w:ascii="Times New Roman" w:hAnsi="Times New Roman" w:cs="Times New Roman"/>
                  <w:color w:val="ff0000"/>
                  <w:sz w:val="26"/>
                  <w:szCs w:val="26"/>
                </w:rPr>
                <w:t xml:space="preserve">N 79014)</w:t>
              </w:r>
            </w:hyperlink>
            <w:r>
              <w:rPr>
                <w:color w:val="ff0000"/>
              </w:rPr>
            </w:r>
            <w:r>
              <w:rPr>
                <w:rStyle w:val="693"/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Минстрой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Дополнен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архитектурно-строительного проектирования, строительства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6 августа 2024 г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ода опубликован Приказ Минстроя России от 04.07.2024 № 447/пр "О внесении изменений и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ысканий, специалистов по организации архитектурно-строительного проектирования, специалистов по организации строительства, утвержденный приказом Министерства строительства и жилищно-коммунального хозяйства Российской Федерации от 6 ноября 2020 г. № 672/пр.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(Приказ Зарегистрирован в Минюсте 05.08.2024 № 79014).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  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Приказом вносятся изменения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ысканий, специалистов по организации архитектурно-строительного проектирования, специалистов по организации строительства, утвержденный приказом Министерства строительства и жилищно-коммунального хозяйства Российской Федерации от 6 ноября 2020 г. № 672/пр.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  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Приказ вступает в силу с 1 марта 2025 года и действует до 1 января 2027 года.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  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Перечень дополнен 64-мя новыми специальностями, из них: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7 – гражданские, 57 – военные.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   Дополненный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Перечень специальностей распространен на новые территории Российской Федерации: Донецкой Народной Республики, Луганской народной Республики, Запорожской области и Херсонской области.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693"/>
                <w:rFonts w:ascii="Times New Roman" w:hAnsi="Times New Roman" w:cs="Times New Roman"/>
                <w:sz w:val="26"/>
                <w:szCs w:val="26"/>
              </w:rPr>
            </w:pPr>
            <w:r/>
            <w:hyperlink r:id="rId23" w:tooltip="http://publication.pravo.gov.ru/document/0001202408080038?index=7" w:history="1">
              <w:r>
                <w:rPr>
                  <w:rStyle w:val="693"/>
                  <w:rFonts w:ascii="Times New Roman" w:hAnsi="Times New Roman" w:cs="Times New Roman"/>
                  <w:color w:val="ff0000"/>
                  <w:sz w:val="26"/>
                  <w:szCs w:val="26"/>
                </w:rPr>
                <w:t xml:space="preserve">Федеральный закон от 08.08.2024 № 238-ФЗ "О внесении изменений в Жилищный кодекс Российской Федерации и статью 53 Градостроительного кодекса Российской Федерации</w:t>
              </w:r>
              <w:r>
                <w:rPr>
                  <w:rStyle w:val="693"/>
                  <w:rFonts w:ascii="Times New Roman" w:hAnsi="Times New Roman" w:cs="Times New Roman"/>
                  <w:sz w:val="26"/>
                  <w:szCs w:val="26"/>
                </w:rPr>
                <w:t xml:space="preserve">"</w:t>
              </w:r>
            </w:hyperlink>
            <w:r/>
            <w:r>
              <w:rPr>
                <w:rStyle w:val="693"/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Минстрой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Новым законом внесены изменения в жилищный кодекс РФ и статью 53 ГрК РФ.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 Установлено, что теперь работы по капитальному ре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монту общего имущества в многоквартирном доме будут проводится только по договору строительного подряда, заключенного с индивидуальными предпринимателями и юридическими лицами, являющимися членами саморегулируемых организаций в области инженерных изысканий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,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архитектур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но-строительного проектирования и строительства.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   Кроме того, законом внесены изменения в статью 53 ГрК РФ и установлено, что строительный контроль при капитальном ремонте МКД будет проводится с учетом особенностей жилищного законодательства.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993" w:right="1134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  <w:tabs>
          <w:tab w:val="num" w:pos="502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  <w:tabs>
          <w:tab w:val="num" w:pos="1222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  <w:tabs>
          <w:tab w:val="num" w:pos="1942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662" w:hanging="360"/>
        <w:tabs>
          <w:tab w:val="num" w:pos="2662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382" w:hanging="360"/>
        <w:tabs>
          <w:tab w:val="num" w:pos="3382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  <w:tabs>
          <w:tab w:val="num" w:pos="4102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4822" w:hanging="360"/>
        <w:tabs>
          <w:tab w:val="num" w:pos="4822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542" w:hanging="360"/>
        <w:tabs>
          <w:tab w:val="num" w:pos="5542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  <w:tabs>
          <w:tab w:val="num" w:pos="6262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14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  <w:num w:numId="14">
    <w:abstractNumId w:val="1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9"/>
    <w:link w:val="68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9"/>
    <w:link w:val="68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9"/>
    <w:link w:val="68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5"/>
    <w:next w:val="6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5"/>
    <w:next w:val="6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9"/>
    <w:link w:val="34"/>
    <w:uiPriority w:val="10"/>
    <w:rPr>
      <w:sz w:val="48"/>
      <w:szCs w:val="48"/>
    </w:rPr>
  </w:style>
  <w:style w:type="paragraph" w:styleId="36">
    <w:name w:val="Subtitle"/>
    <w:basedOn w:val="685"/>
    <w:next w:val="6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9"/>
    <w:link w:val="36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9"/>
    <w:link w:val="697"/>
    <w:uiPriority w:val="99"/>
  </w:style>
  <w:style w:type="character" w:styleId="45">
    <w:name w:val="Footer Char"/>
    <w:basedOn w:val="689"/>
    <w:link w:val="699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9"/>
    <w:uiPriority w:val="99"/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</w:style>
  <w:style w:type="paragraph" w:styleId="686">
    <w:name w:val="Heading 1"/>
    <w:basedOn w:val="685"/>
    <w:next w:val="685"/>
    <w:link w:val="72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687">
    <w:name w:val="Heading 2"/>
    <w:basedOn w:val="685"/>
    <w:link w:val="69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88">
    <w:name w:val="Heading 3"/>
    <w:basedOn w:val="685"/>
    <w:next w:val="685"/>
    <w:link w:val="729"/>
    <w:uiPriority w:val="9"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List Paragraph"/>
    <w:basedOn w:val="685"/>
    <w:uiPriority w:val="34"/>
    <w:qFormat/>
    <w:pPr>
      <w:contextualSpacing/>
      <w:ind w:left="720"/>
    </w:pPr>
  </w:style>
  <w:style w:type="character" w:styleId="693">
    <w:name w:val="Hyperlink"/>
    <w:basedOn w:val="689"/>
    <w:uiPriority w:val="99"/>
    <w:unhideWhenUsed/>
    <w:rPr>
      <w:color w:val="0000ff" w:themeColor="hyperlink"/>
      <w:u w:val="single"/>
    </w:rPr>
  </w:style>
  <w:style w:type="table" w:styleId="694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95" w:customStyle="1">
    <w:name w:val="Заголовок 2 Знак"/>
    <w:basedOn w:val="689"/>
    <w:link w:val="687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96">
    <w:name w:val="Normal (Web)"/>
    <w:basedOn w:val="68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7">
    <w:name w:val="Header"/>
    <w:basedOn w:val="685"/>
    <w:link w:val="6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8" w:customStyle="1">
    <w:name w:val="Верхний колонтитул Знак"/>
    <w:basedOn w:val="689"/>
    <w:link w:val="697"/>
    <w:uiPriority w:val="99"/>
  </w:style>
  <w:style w:type="paragraph" w:styleId="699">
    <w:name w:val="Footer"/>
    <w:basedOn w:val="685"/>
    <w:link w:val="7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0" w:customStyle="1">
    <w:name w:val="Нижний колонтитул Знак"/>
    <w:basedOn w:val="689"/>
    <w:link w:val="699"/>
    <w:uiPriority w:val="99"/>
  </w:style>
  <w:style w:type="character" w:styleId="701" w:customStyle="1">
    <w:name w:val="pt-a0-000004"/>
    <w:basedOn w:val="689"/>
  </w:style>
  <w:style w:type="character" w:styleId="702" w:customStyle="1">
    <w:name w:val="apple-converted-space"/>
    <w:basedOn w:val="689"/>
  </w:style>
  <w:style w:type="character" w:styleId="703" w:customStyle="1">
    <w:name w:val="pt-a0-000005"/>
    <w:basedOn w:val="689"/>
  </w:style>
  <w:style w:type="paragraph" w:styleId="704" w:customStyle="1">
    <w:name w:val="pt-a-000003"/>
    <w:basedOn w:val="6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5" w:customStyle="1">
    <w:name w:val="pt-a0-000006"/>
    <w:basedOn w:val="689"/>
  </w:style>
  <w:style w:type="paragraph" w:styleId="706" w:customStyle="1">
    <w:name w:val="pt-aa"/>
    <w:basedOn w:val="6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7" w:customStyle="1">
    <w:name w:val="pt-ab"/>
    <w:basedOn w:val="689"/>
  </w:style>
  <w:style w:type="paragraph" w:styleId="70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0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710">
    <w:name w:val="No Spacing"/>
    <w:uiPriority w:val="1"/>
    <w:qFormat/>
    <w:pPr>
      <w:spacing w:after="0" w:line="240" w:lineRule="auto"/>
    </w:pPr>
  </w:style>
  <w:style w:type="paragraph" w:styleId="711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712" w:customStyle="1">
    <w:name w:val="news-list_item_title"/>
    <w:basedOn w:val="6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3" w:customStyle="1">
    <w:name w:val="doc_link"/>
    <w:basedOn w:val="6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4">
    <w:name w:val="Strong"/>
    <w:basedOn w:val="689"/>
    <w:uiPriority w:val="22"/>
    <w:qFormat/>
    <w:rPr>
      <w:b/>
      <w:bCs/>
    </w:rPr>
  </w:style>
  <w:style w:type="paragraph" w:styleId="715" w:customStyle="1">
    <w:name w:val="rev_ann"/>
    <w:basedOn w:val="6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6">
    <w:name w:val="FollowedHyperlink"/>
    <w:basedOn w:val="689"/>
    <w:uiPriority w:val="99"/>
    <w:semiHidden/>
    <w:unhideWhenUsed/>
    <w:rPr>
      <w:color w:val="800080" w:themeColor="followedHyperlink"/>
      <w:u w:val="single"/>
    </w:rPr>
  </w:style>
  <w:style w:type="character" w:styleId="717" w:customStyle="1">
    <w:name w:val="blk"/>
    <w:basedOn w:val="689"/>
  </w:style>
  <w:style w:type="character" w:styleId="718" w:customStyle="1">
    <w:name w:val="b"/>
    <w:basedOn w:val="689"/>
  </w:style>
  <w:style w:type="paragraph" w:styleId="719">
    <w:name w:val="Balloon Text"/>
    <w:basedOn w:val="685"/>
    <w:link w:val="7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20" w:customStyle="1">
    <w:name w:val="Текст выноски Знак"/>
    <w:basedOn w:val="689"/>
    <w:link w:val="719"/>
    <w:uiPriority w:val="99"/>
    <w:semiHidden/>
    <w:rPr>
      <w:rFonts w:ascii="Segoe UI" w:hAnsi="Segoe UI" w:cs="Segoe UI"/>
      <w:sz w:val="18"/>
      <w:szCs w:val="18"/>
    </w:rPr>
  </w:style>
  <w:style w:type="character" w:styleId="721" w:customStyle="1">
    <w:name w:val="ep"/>
    <w:basedOn w:val="689"/>
  </w:style>
  <w:style w:type="paragraph" w:styleId="722" w:customStyle="1">
    <w:name w:val="pt-a-000001"/>
    <w:basedOn w:val="6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3" w:customStyle="1">
    <w:name w:val="pt-a0-000002"/>
    <w:basedOn w:val="689"/>
  </w:style>
  <w:style w:type="character" w:styleId="724" w:customStyle="1">
    <w:name w:val="pt-a0-000003"/>
    <w:basedOn w:val="689"/>
  </w:style>
  <w:style w:type="character" w:styleId="725" w:customStyle="1">
    <w:name w:val="doccaption"/>
    <w:basedOn w:val="689"/>
  </w:style>
  <w:style w:type="character" w:styleId="726" w:customStyle="1">
    <w:name w:val="Заголовок 1 Знак"/>
    <w:basedOn w:val="689"/>
    <w:link w:val="686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727" w:customStyle="1">
    <w:name w:val="pt-defaultparagraphfont-000014"/>
    <w:basedOn w:val="689"/>
  </w:style>
  <w:style w:type="paragraph" w:styleId="728" w:customStyle="1">
    <w:name w:val="style-article"/>
    <w:basedOn w:val="6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9" w:customStyle="1">
    <w:name w:val="Заголовок 3 Знак"/>
    <w:basedOn w:val="689"/>
    <w:link w:val="688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730" w:customStyle="1">
    <w:name w:val="pt-a-000005"/>
    <w:basedOn w:val="6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publication.pravo.gov.ru/document/0001202408080068" TargetMode="External"/><Relationship Id="rId11" Type="http://schemas.openxmlformats.org/officeDocument/2006/relationships/hyperlink" Target="http://publication.pravo.gov.ru/document/0001202408080099" TargetMode="External"/><Relationship Id="rId12" Type="http://schemas.openxmlformats.org/officeDocument/2006/relationships/hyperlink" Target="https://www.consultant.ru/cons/cgi/online.cgi?req=doc&amp;rnd=8fk6YA&amp;base=LAW&amp;n=477764" TargetMode="External"/><Relationship Id="rId13" Type="http://schemas.openxmlformats.org/officeDocument/2006/relationships/hyperlink" Target="https://www.consultant.ru/cons/cgi/online.cgi?req=doc&amp;rnd=ysiGAw&amp;base=LAW&amp;n=479502" TargetMode="External"/><Relationship Id="rId14" Type="http://schemas.openxmlformats.org/officeDocument/2006/relationships/hyperlink" Target="https://regulation.gov.ru/Regulation/Npa/PublicView?npaID=148589" TargetMode="External"/><Relationship Id="rId15" Type="http://schemas.openxmlformats.org/officeDocument/2006/relationships/hyperlink" Target="https://www.consultant.ru/cons/cgi/online.cgi?req=doc&amp;rnd=XiErMg&amp;base=LAW&amp;n=480776" TargetMode="External"/><Relationship Id="rId16" Type="http://schemas.openxmlformats.org/officeDocument/2006/relationships/hyperlink" Target="https://www.consultant.ru/cons/cgi/online.cgi?req=doc&amp;rnd=XiErMg&amp;base=LAW&amp;n=480775" TargetMode="External"/><Relationship Id="rId17" Type="http://schemas.openxmlformats.org/officeDocument/2006/relationships/hyperlink" Target="https://www.consultant.ru/cons/cgi/online.cgi?req=doc&amp;rnd=XiErMg&amp;base=LAW&amp;n=480770" TargetMode="External"/><Relationship Id="rId18" Type="http://schemas.openxmlformats.org/officeDocument/2006/relationships/hyperlink" Target="https://www.consultant.ru/cons/cgi/online.cgi?req=doc&amp;rnd=25WpWQ&amp;base=LAW&amp;n=481741" TargetMode="External"/><Relationship Id="rId19" Type="http://schemas.openxmlformats.org/officeDocument/2006/relationships/hyperlink" Target="https://www.consultant.ru/cons/cgi/online.cgi?req=doc&amp;rnd=25WpWQ&amp;base=LAW&amp;n=481565" TargetMode="External"/><Relationship Id="rId20" Type="http://schemas.openxmlformats.org/officeDocument/2006/relationships/hyperlink" Target="https://www.consultant.ru/cons/cgi/online.cgi?req=doc&amp;rnd=25WpWQ&amp;base=LAW&amp;n=481493" TargetMode="External"/><Relationship Id="rId21" Type="http://schemas.openxmlformats.org/officeDocument/2006/relationships/hyperlink" Target="http://publication.pravo.gov.ru/document/0001202408050007?ysclid=lzi03ufpje592402712" TargetMode="External"/><Relationship Id="rId22" Type="http://schemas.openxmlformats.org/officeDocument/2006/relationships/hyperlink" Target="https://www.consultant.ru/law/hotdocs/85857.html?ysclid=lzjjsf52e4953592786" TargetMode="External"/><Relationship Id="rId23" Type="http://schemas.openxmlformats.org/officeDocument/2006/relationships/hyperlink" Target="http://publication.pravo.gov.ru/document/0001202408080038?index=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92D2-4C8F-4612-BFD0-20017144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revision>23</cp:revision>
  <dcterms:created xsi:type="dcterms:W3CDTF">2024-07-18T08:30:00Z</dcterms:created>
  <dcterms:modified xsi:type="dcterms:W3CDTF">2024-08-13T11:53:26Z</dcterms:modified>
</cp:coreProperties>
</file>