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81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81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81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708" w:hanging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07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81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31.07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 12 ч. 00 мин.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81"/>
        <w:ind w:left="0" w:firstLine="708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1081"/>
        <w:ind w:left="0"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2. 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3. Мацаева Анна Николаевна – зам. директора ООО «КПМ № 2»;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4. Микрюков Владимир Борисович – директор ООО «Артис»;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  <w:lang w:val="en-US"/>
        </w:rPr>
        <w:t xml:space="preserve">5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  <w:lang w:val="en-US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Сипягин Александр Николаевич – ген. директор ассоциации «СРО «ТОС».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ff0000"/>
          <w:spacing w:val="1"/>
          <w:sz w:val="24"/>
          <w:szCs w:val="24"/>
        </w:rPr>
      </w:pPr>
      <w:r>
        <w:rPr>
          <w:rFonts w:ascii="Times New Roman" w:hAnsi="Times New Roman"/>
          <w:color w:val="ff0000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pacing w:val="1"/>
          <w:sz w:val="24"/>
          <w:szCs w:val="24"/>
        </w:rPr>
      </w:r>
      <w:r>
        <w:rPr>
          <w:rFonts w:ascii="Times New Roman" w:hAnsi="Times New Roman"/>
          <w:color w:val="ff0000"/>
          <w:spacing w:val="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</w:rPr>
      </w:pP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auto"/>
          <w:spacing w:val="1"/>
          <w:sz w:val="24"/>
          <w:szCs w:val="24"/>
        </w:rPr>
      </w:r>
      <w:r>
        <w:rPr>
          <w:rFonts w:ascii="Times New Roman" w:hAnsi="Times New Roman"/>
          <w:color w:val="auto"/>
          <w:spacing w:val="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Демидов А.Г. – зам. директора Ассоциации, председатель контрольной комисс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  <w:t xml:space="preserve">Демидов С.Г. – директор ассоциации «СРО «ТОП».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</w:p>
    <w:p>
      <w:pPr>
        <w:pStyle w:val="1081"/>
        <w:ind w:left="0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Слушали:</w:t>
      </w:r>
      <w:r>
        <w:rPr>
          <w:rFonts w:ascii="Times New Roman" w:hAnsi="Times New Roman"/>
          <w:color w:val="auto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auto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auto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auto"/>
          <w:sz w:val="24"/>
          <w:szCs w:val="24"/>
        </w:rPr>
        <w:t xml:space="preserve"> что из </w:t>
      </w:r>
      <w:r>
        <w:rPr>
          <w:rFonts w:ascii="Times New Roman" w:hAnsi="Times New Roman"/>
          <w:color w:val="auto"/>
          <w:sz w:val="24"/>
          <w:szCs w:val="24"/>
        </w:rPr>
        <w:t xml:space="preserve">7</w:t>
      </w:r>
      <w:r>
        <w:rPr>
          <w:rFonts w:ascii="Times New Roman" w:hAnsi="Times New Roman"/>
          <w:color w:val="auto"/>
          <w:sz w:val="24"/>
          <w:szCs w:val="24"/>
        </w:rPr>
        <w:t xml:space="preserve"> члено</w:t>
      </w:r>
      <w:r>
        <w:rPr>
          <w:rFonts w:ascii="Times New Roman" w:hAnsi="Times New Roman"/>
          <w:color w:val="auto"/>
          <w:sz w:val="24"/>
          <w:szCs w:val="24"/>
        </w:rPr>
        <w:t xml:space="preserve">в пр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ле</w:t>
      </w:r>
      <w:r>
        <w:rPr>
          <w:rFonts w:ascii="Times New Roman" w:hAnsi="Times New Roman"/>
          <w:color w:val="auto"/>
          <w:sz w:val="24"/>
          <w:szCs w:val="24"/>
        </w:rPr>
        <w:t xml:space="preserve">ни</w:t>
      </w:r>
      <w:r>
        <w:rPr>
          <w:rFonts w:ascii="Times New Roman" w:hAnsi="Times New Roman"/>
          <w:color w:val="auto"/>
          <w:sz w:val="24"/>
          <w:szCs w:val="24"/>
        </w:rPr>
        <w:t xml:space="preserve">я 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али:</w:t>
      </w:r>
      <w:r>
        <w:rPr>
          <w:rFonts w:ascii="Times New Roman" w:hAnsi="Times New Roman"/>
          <w:color w:val="auto"/>
          <w:sz w:val="24"/>
          <w:szCs w:val="24"/>
        </w:rPr>
        <w:t xml:space="preserve"> Председ</w:t>
      </w:r>
      <w:r>
        <w:rPr>
          <w:rFonts w:ascii="Times New Roman" w:hAnsi="Times New Roman"/>
          <w:color w:val="auto"/>
          <w:sz w:val="24"/>
          <w:szCs w:val="24"/>
        </w:rPr>
        <w:t xml:space="preserve">ательств</w:t>
      </w:r>
      <w:r>
        <w:rPr>
          <w:rFonts w:ascii="Times New Roman" w:hAnsi="Times New Roman"/>
          <w:color w:val="auto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auto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auto"/>
          <w:sz w:val="24"/>
          <w:szCs w:val="24"/>
        </w:rPr>
        <w:t xml:space="preserve">ердить </w:t>
      </w:r>
      <w:r>
        <w:rPr>
          <w:rFonts w:ascii="Times New Roman" w:hAnsi="Times New Roman"/>
          <w:color w:val="auto"/>
          <w:sz w:val="24"/>
          <w:szCs w:val="24"/>
        </w:rPr>
        <w:t xml:space="preserve">сл</w:t>
      </w:r>
      <w:r>
        <w:rPr>
          <w:rFonts w:ascii="Times New Roman" w:hAnsi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color w:val="auto"/>
          <w:sz w:val="24"/>
          <w:szCs w:val="24"/>
        </w:rPr>
        <w:t xml:space="preserve">д</w:t>
      </w:r>
      <w:r>
        <w:rPr>
          <w:rFonts w:ascii="Times New Roman" w:hAnsi="Times New Roman"/>
          <w:color w:val="auto"/>
          <w:sz w:val="24"/>
          <w:szCs w:val="24"/>
        </w:rPr>
        <w:t xml:space="preserve">ующую </w:t>
      </w:r>
      <w:r>
        <w:rPr>
          <w:rFonts w:ascii="Times New Roman" w:hAnsi="Times New Roman"/>
          <w:color w:val="auto"/>
          <w:sz w:val="24"/>
          <w:szCs w:val="24"/>
        </w:rPr>
        <w:t xml:space="preserve">повестку</w:t>
      </w:r>
      <w:r>
        <w:rPr>
          <w:rFonts w:ascii="Times New Roman" w:hAnsi="Times New Roman"/>
          <w:color w:val="auto"/>
          <w:sz w:val="24"/>
          <w:szCs w:val="24"/>
        </w:rPr>
        <w:t xml:space="preserve"> дня пра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ления</w:t>
      </w:r>
      <w:r>
        <w:rPr>
          <w:rFonts w:ascii="Times New Roman" w:hAnsi="Times New Roman"/>
          <w:color w:val="auto"/>
          <w:sz w:val="24"/>
          <w:szCs w:val="24"/>
        </w:rPr>
        <w:t xml:space="preserve">: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81"/>
        <w:jc w:val="center"/>
        <w:spacing w:after="0" w:line="360" w:lineRule="auto"/>
        <w:rPr>
          <w:rFonts w:ascii="Times New Roman" w:hAnsi="Times New Roman" w:eastAsia="Calibri"/>
          <w:color w:val="auto"/>
          <w:sz w:val="24"/>
          <w:szCs w:val="24"/>
          <w:u w:val="single"/>
        </w:rPr>
      </w:pPr>
      <w:r>
        <w:rPr>
          <w:rFonts w:ascii="Times New Roman" w:hAnsi="Times New Roman" w:eastAsia="Calibri"/>
          <w:color w:val="auto"/>
          <w:sz w:val="24"/>
          <w:szCs w:val="24"/>
          <w:u w:val="single"/>
          <w:lang w:val="ru-RU" w:eastAsia="ru-RU" w:bidi="ar-SA"/>
        </w:rPr>
        <w:t xml:space="preserve">Повестка дня Правления</w:t>
      </w:r>
      <w:r>
        <w:rPr>
          <w:rFonts w:ascii="Times New Roman" w:hAnsi="Times New Roman" w:eastAsia="Calibri"/>
          <w:color w:val="auto"/>
          <w:sz w:val="24"/>
          <w:szCs w:val="24"/>
          <w:u w:val="single"/>
        </w:rPr>
      </w:r>
      <w:r>
        <w:rPr>
          <w:rFonts w:ascii="Times New Roman" w:hAnsi="Times New Roman" w:eastAsia="Calibri"/>
          <w:color w:val="auto"/>
          <w:sz w:val="24"/>
          <w:szCs w:val="24"/>
          <w:u w:val="single"/>
        </w:rPr>
      </w:r>
    </w:p>
    <w:p>
      <w:pPr>
        <w:jc w:val="center"/>
        <w:spacing w:after="0" w:line="360" w:lineRule="auto"/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pPr>
      <w:r>
        <w:rPr>
          <w:rFonts w:ascii="Times New Roman" w:hAnsi="Times New Roman" w:eastAsia="Calibri"/>
          <w:sz w:val="24"/>
          <w:szCs w:val="24"/>
          <w:highlight w:val="none"/>
          <w:u w:val="single"/>
          <w:lang w:val="ru-RU" w:eastAsia="ru-RU" w:bidi="ar-SA"/>
        </w:rPr>
      </w:r>
      <w:r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r>
      <w:r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r>
    </w:p>
    <w:p>
      <w:pPr>
        <w:pStyle w:val="1081"/>
        <w:numPr>
          <w:ilvl w:val="0"/>
          <w:numId w:val="123"/>
        </w:numPr>
        <w:ind w:left="714" w:hanging="357"/>
        <w:jc w:val="both"/>
        <w:spacing w:after="200" w:line="276" w:lineRule="auto"/>
        <w:rPr>
          <w:rFonts w:ascii="Times New Roman" w:hAnsi="Times New Roman" w:eastAsia="Times New Roman"/>
          <w:i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 задолженности по членским взносам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С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i/>
          <w:spacing w:val="2"/>
          <w:sz w:val="24"/>
          <w:szCs w:val="24"/>
        </w:rPr>
      </w:r>
      <w:r>
        <w:rPr>
          <w:rFonts w:ascii="Times New Roman" w:hAnsi="Times New Roman" w:eastAsia="Times New Roman"/>
          <w:i/>
          <w:spacing w:val="2"/>
          <w:sz w:val="24"/>
          <w:szCs w:val="24"/>
        </w:rPr>
      </w:r>
    </w:p>
    <w:p>
      <w:pPr>
        <w:numPr>
          <w:ilvl w:val="0"/>
          <w:numId w:val="123"/>
        </w:numPr>
        <w:ind w:left="714" w:hanging="357"/>
        <w:jc w:val="both"/>
        <w:spacing w:after="200" w:line="276" w:lineRule="auto"/>
        <w:rPr>
          <w:rFonts w:ascii="Times New Roman" w:hAnsi="Times New Roman" w:eastAsia="Times New Roman"/>
          <w:bCs/>
          <w:i/>
          <w:spacing w:val="2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О несоответствии ООО «Бурводстрой №2» требованиям к членству в ассоциации «СРО ТОП»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Cs/>
          <w:i/>
          <w:spacing w:val="2"/>
          <w:sz w:val="24"/>
          <w:szCs w:val="24"/>
        </w:rPr>
      </w:r>
      <w:r>
        <w:rPr>
          <w:rFonts w:ascii="Times New Roman" w:hAnsi="Times New Roman" w:eastAsia="Times New Roman"/>
          <w:bCs/>
          <w:i/>
          <w:spacing w:val="2"/>
          <w:sz w:val="24"/>
          <w:szCs w:val="24"/>
        </w:rPr>
      </w:r>
    </w:p>
    <w:p>
      <w:pPr>
        <w:numPr>
          <w:ilvl w:val="0"/>
          <w:numId w:val="123"/>
        </w:numPr>
        <w:ind w:left="714" w:hanging="357"/>
        <w:jc w:val="both"/>
        <w:spacing w:after="200" w:line="276" w:lineRule="auto"/>
        <w:rPr>
          <w:rFonts w:ascii="Times New Roman" w:hAnsi="Times New Roman" w:eastAsia="Times New Roman"/>
          <w:bCs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eastAsia="Times New Roman"/>
          <w:bCs/>
          <w:i w:val="0"/>
          <w:iCs w:val="0"/>
          <w:color w:val="000000" w:themeColor="text1"/>
          <w:sz w:val="24"/>
          <w:szCs w:val="24"/>
          <w:lang w:val="ru-RU"/>
        </w:rPr>
        <w:t xml:space="preserve">Рассмотрение</w:t>
      </w:r>
      <w:r>
        <w:rPr>
          <w:rFonts w:ascii="Times New Roman" w:hAnsi="Times New Roman" w:eastAsia="Times New Roman"/>
          <w:bCs/>
          <w:i w:val="0"/>
          <w:iCs w:val="0"/>
          <w:color w:val="000000" w:themeColor="text1"/>
          <w:sz w:val="24"/>
          <w:szCs w:val="24"/>
          <w:lang w:val="ru-RU"/>
        </w:rPr>
        <w:t xml:space="preserve"> Положения о премировании директора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ассоциации «СРО ТОП» </w:t>
      </w:r>
      <w:r>
        <w:rPr>
          <w:rFonts w:ascii="Times New Roman" w:hAnsi="Times New Roman" w:eastAsia="Times New Roman"/>
          <w:bCs/>
          <w:i/>
          <w:iCs/>
          <w:color w:val="000000" w:themeColor="text1"/>
          <w:sz w:val="24"/>
          <w:szCs w:val="24"/>
          <w:lang w:val="ru-RU"/>
        </w:rPr>
        <w:t xml:space="preserve">(докладчик Демидов А.Г.)</w:t>
      </w:r>
      <w:r>
        <w:rPr>
          <w:rFonts w:ascii="Times New Roman" w:hAnsi="Times New Roman" w:eastAsia="Times New Roman"/>
          <w:bCs/>
          <w:i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eastAsia="Times New Roman"/>
          <w:bCs/>
          <w:i/>
          <w:color w:val="000000" w:themeColor="text1"/>
          <w:sz w:val="24"/>
          <w:szCs w:val="24"/>
          <w:lang w:val="ru-RU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  <w:highlight w:val="none"/>
        </w:rPr>
      </w:r>
    </w:p>
    <w:p>
      <w:pPr>
        <w:pStyle w:val="1081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 задолженности по членским взносам.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1081"/>
        <w:ind w:firstLine="708"/>
        <w:jc w:val="both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Демидова С.Г.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который 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оложил прис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утс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ющим о наличии задолженности по членским взносам у следующих членов Ассоциации: ООО «ЭнергоСистемы» (72 тыс.руб.),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ООО СК «Тверькапстрой» (54 тыс. руб.),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ООО «Компания Тверькаппроект» (54 тыс.руб.), ООО «Октопус» (90 тыс руб.),  ООО «Дис-план» (90 тыс. руб.), ООО «Наследие» (54 тыс. руб.), ООО «Системы Безопасности» 54 тыс. руб). Информация о наличии задолженности направлена всем вышеуказанным организациям.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r>
    </w:p>
    <w:p>
      <w:pPr>
        <w:ind w:firstLine="54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Направить в адрес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ООО «ЭнергоСистемы»,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ООО СК «Тверькапстрой»,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ООО «Компания Тверькаппроект», ООО «Октопус»,  ООО «Дис-план», ООО «Наследие», ООО «Системы Безопасности»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Претензию 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о поводу непогашения задолженности по уплате членских взносов.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«против» - 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ет, «воздерж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второму вопросу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О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 несоответствии ООО «Бурводстрой №2» требованиям к членству в ассоциации «СРО ТОП»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.</w:t>
      </w:r>
      <w:r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r>
    </w:p>
    <w:p>
      <w:pPr>
        <w:pStyle w:val="1081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Демидова А.Г.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который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доложил присутствующим о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несоответствии ООО «Бурводстрой №2» требованиям к членству в ассоциации «СРО ТОП»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 в части наличия специалистов организации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в национальном реестре специалистов в области архитектурно-строительного проектирования.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Засл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ушать директора ООО «Бурводстрой № 2» о состоянии вопроса по включению специалистов организации в национальный реестр специалистов в области архитектурно-строительного проектирования на очередном заседании правления.</w:t>
      </w:r>
      <w:r>
        <w:rPr>
          <w:rFonts w:ascii="Times New Roman" w:hAnsi="Times New Roman"/>
          <w:bCs/>
          <w:color w:val="ff0000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голосов, «против»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нет,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«воздержался»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7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По третьему вопросу 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повестки дня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Cs/>
          <w:i w:val="0"/>
          <w:iCs w:val="0"/>
          <w:color w:val="auto"/>
          <w:sz w:val="24"/>
          <w:szCs w:val="24"/>
          <w:lang w:val="ru-RU"/>
        </w:rPr>
        <w:t xml:space="preserve">Рассмотрение</w:t>
      </w:r>
      <w:r>
        <w:rPr>
          <w:rFonts w:ascii="Times New Roman" w:hAnsi="Times New Roman" w:eastAsia="Times New Roman"/>
          <w:bCs/>
          <w:i w:val="0"/>
          <w:iCs w:val="0"/>
          <w:color w:val="auto"/>
          <w:sz w:val="24"/>
          <w:szCs w:val="24"/>
          <w:lang w:val="ru-RU"/>
        </w:rPr>
        <w:t xml:space="preserve"> Положения о премировании директора </w:t>
      </w:r>
      <w:r>
        <w:rPr>
          <w:rFonts w:ascii="Times New Roman" w:hAnsi="Times New Roman" w:eastAsia="Times New Roman"/>
          <w:bCs/>
          <w:color w:val="auto"/>
          <w:sz w:val="24"/>
          <w:szCs w:val="24"/>
          <w:highlight w:val="none"/>
          <w:lang w:val="ru-RU"/>
        </w:rPr>
        <w:t xml:space="preserve">ассоциации «СРО ТОП».</w:t>
      </w:r>
      <w:r>
        <w:rPr>
          <w:rFonts w:ascii="Times New Roman" w:hAnsi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/>
          <w:b/>
          <w:bCs/>
          <w:color w:val="auto"/>
          <w:sz w:val="24"/>
          <w:szCs w:val="24"/>
        </w:rPr>
      </w:r>
    </w:p>
    <w:p>
      <w:pPr>
        <w:pStyle w:val="1081"/>
        <w:ind w:right="-185" w:firstLine="708"/>
        <w:jc w:val="both"/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</w:pPr>
      <w:r>
        <w:rPr>
          <w:rFonts w:ascii="Times New Roman" w:hAnsi="Times New Roman"/>
          <w:iCs/>
          <w:color w:val="auto"/>
          <w:spacing w:val="2"/>
          <w:sz w:val="24"/>
          <w:szCs w:val="24"/>
        </w:rPr>
      </w:r>
      <w:r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auto"/>
          <w:spacing w:val="2"/>
          <w:sz w:val="24"/>
          <w:szCs w:val="24"/>
        </w:rPr>
        <w:t xml:space="preserve">: Демидова А.Г.</w:t>
      </w:r>
      <w:r>
        <w:rPr>
          <w:rFonts w:ascii="Times New Roman" w:hAnsi="Times New Roman"/>
          <w:b w:val="0"/>
          <w:bCs w:val="0"/>
          <w:iCs/>
          <w:color w:val="auto"/>
          <w:spacing w:val="2"/>
          <w:sz w:val="24"/>
          <w:szCs w:val="24"/>
        </w:rPr>
        <w:t xml:space="preserve">, который представил  присутствующим </w:t>
      </w:r>
      <w:r>
        <w:rPr>
          <w:rFonts w:ascii="Times New Roman" w:hAnsi="Times New Roman" w:eastAsia="Times New Roman"/>
          <w:bCs/>
          <w:i w:val="0"/>
          <w:iCs w:val="0"/>
          <w:color w:val="auto"/>
          <w:sz w:val="24"/>
          <w:szCs w:val="24"/>
          <w:lang w:val="ru-RU"/>
        </w:rPr>
        <w:t xml:space="preserve">Положение о премировании директора </w:t>
      </w:r>
      <w:r>
        <w:rPr>
          <w:rFonts w:ascii="Times New Roman" w:hAnsi="Times New Roman" w:eastAsia="Times New Roman"/>
          <w:bCs/>
          <w:color w:val="auto"/>
          <w:sz w:val="24"/>
          <w:szCs w:val="24"/>
          <w:highlight w:val="none"/>
          <w:lang w:val="ru-RU"/>
        </w:rPr>
        <w:t xml:space="preserve">ассоциации «СРО ТОП».</w:t>
      </w:r>
      <w:r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</w:r>
      <w:r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Cs/>
          <w:i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Решили: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Утвердить </w:t>
      </w:r>
      <w:r>
        <w:rPr>
          <w:rFonts w:ascii="Times New Roman" w:hAnsi="Times New Roman" w:eastAsia="Times New Roman"/>
          <w:bCs/>
          <w:i w:val="0"/>
          <w:iCs w:val="0"/>
          <w:color w:val="auto"/>
          <w:sz w:val="24"/>
          <w:szCs w:val="24"/>
          <w:lang w:val="ru-RU"/>
        </w:rPr>
        <w:t xml:space="preserve">Положение о </w:t>
      </w:r>
      <w:r>
        <w:rPr>
          <w:rFonts w:ascii="Times New Roman" w:hAnsi="Times New Roman" w:eastAsia="Times New Roman"/>
          <w:bCs/>
          <w:i w:val="0"/>
          <w:iCs w:val="0"/>
          <w:color w:val="auto"/>
          <w:sz w:val="24"/>
          <w:szCs w:val="24"/>
          <w:lang w:val="ru-RU"/>
        </w:rPr>
        <w:t xml:space="preserve">премировании директора </w:t>
      </w:r>
      <w:r>
        <w:rPr>
          <w:rFonts w:ascii="Times New Roman" w:hAnsi="Times New Roman" w:eastAsia="Times New Roman"/>
          <w:bCs/>
          <w:color w:val="auto"/>
          <w:sz w:val="24"/>
          <w:szCs w:val="24"/>
          <w:highlight w:val="none"/>
          <w:lang w:val="ru-RU"/>
        </w:rPr>
        <w:t xml:space="preserve">ассоциации «СРО ТОП» </w:t>
      </w:r>
      <w:r>
        <w:rPr>
          <w:rFonts w:ascii="Times New Roman" w:hAnsi="Times New Roman" w:eastAsia="Times New Roman"/>
          <w:bCs/>
          <w:i/>
          <w:iCs/>
          <w:color w:val="auto"/>
          <w:sz w:val="24"/>
          <w:szCs w:val="24"/>
          <w:highlight w:val="none"/>
          <w:lang w:val="ru-RU"/>
        </w:rPr>
        <w:t xml:space="preserve">(приложение №1).</w:t>
      </w:r>
      <w:r>
        <w:rPr>
          <w:i/>
          <w:iCs/>
          <w:color w:val="auto"/>
        </w:rPr>
      </w:r>
      <w:r>
        <w:rPr>
          <w:rFonts w:ascii="Times New Roman" w:hAnsi="Times New Roman"/>
          <w:bCs/>
          <w:i/>
          <w:color w:val="auto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за» -5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голосов, «против»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- нет,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«воздержался»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Решение принято единогласно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87"/>
        <w:ind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ff0000"/>
          <w:sz w:val="24"/>
          <w:szCs w:val="24"/>
        </w:rPr>
      </w:r>
      <w:r>
        <w:rPr>
          <w:i/>
          <w:iCs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1087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13505</wp:posOffset>
                </wp:positionV>
                <wp:extent cx="1586230" cy="1174204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651752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7" cy="1174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1.10pt;mso-position-horizontal:absolute;mso-position-vertical-relative:text;margin-top:1.06pt;mso-position-vertical:absolute;width:124.90pt;height:92.46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pStyle w:val="1081"/>
        <w:ind w:left="0" w:firstLine="0"/>
        <w:jc w:val="both"/>
        <w:spacing w:after="0" w:line="240" w:lineRule="auto"/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pPr>
      <w:r>
        <w:rPr>
          <w:color w:val="auto"/>
        </w:rPr>
      </w:r>
      <w:r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r>
    </w:p>
    <w:p>
      <w:pPr>
        <w:rPr>
          <w:color w:val="aut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color w:val="auto"/>
        </w:rPr>
      </w:r>
      <w:r>
        <w:rPr>
          <w:color w:val="auto"/>
        </w:rPr>
      </w:r>
    </w:p>
    <w:p>
      <w:pP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рези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ден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ас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олков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rPr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 xml:space="preserve">    </w:t>
      </w: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2570887</wp:posOffset>
                </wp:positionH>
                <wp:positionV relativeFrom="paragraph">
                  <wp:posOffset>88514</wp:posOffset>
                </wp:positionV>
                <wp:extent cx="1247775" cy="704850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887203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2" cy="704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2.43pt;mso-position-horizontal:absolute;mso-position-vertical-relative:text;margin-top:6.97pt;mso-position-vertical:absolute;width:98.25pt;height:55.5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</w:p>
    <w:p>
      <w:pPr>
        <w:rPr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Секре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рь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равлен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Е.М. Владимирова</w:t>
      </w:r>
      <w:r>
        <w:rPr>
          <w:b w:val="0"/>
          <w:bCs w:val="0"/>
          <w:color w:val="auto"/>
          <w:sz w:val="24"/>
          <w:szCs w:val="24"/>
          <w:highlight w:val="none"/>
        </w:rPr>
      </w:r>
      <w:r>
        <w:rPr>
          <w:b w:val="0"/>
          <w:bCs w:val="0"/>
          <w:color w:val="auto"/>
          <w:sz w:val="24"/>
          <w:szCs w:val="24"/>
          <w:highlight w:val="none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Приложение № 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к протоколу 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ассоциации «СРО «ТОП»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от 31.07.2025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 7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ПОЛОЖЕНИЕ</w:t>
      </w:r>
      <w:r/>
    </w:p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о премировании директора ассоциации  «СРО «ТОП»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1. Общие положения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54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1.1. Настоящее Положение определяет порядок и условия выплаты директору ассоциации «СРО «ТОП» (далее - Ассоциация) дополнительно к заработной плате материального поощрения в виде премий за надлежащее выполнение трудовых функций при соблюде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нии условий для премирования и разработано в целях мотивации директора Ассоциации за своевременное и качественное выполнение своих трудовых обязанностей. </w:t>
      </w:r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1.2. Премирование является правом, а не обязанностью работодателя. Премия не является гарантированной или обязательной к начислению выплатой.</w:t>
      </w:r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1.3. Премирование директора осуществляется при наличии свободных денежных средств, которые могут быть израсходованы на материальное стимулирование без ущерба для основной деятельности Ассоциации.</w:t>
      </w:r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1.4. Критерием оценки работы директора является отсутствие претензий по работе Ассоциации со стороны государственных и муниципальных органов, НОПРИЗ, правления и членов Ассоциации., а также осуществление без нарушений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финансово-хозяйственной деятельности 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в пределах утвержденной сметы доходов и расходов Ассоциации.</w:t>
      </w:r>
      <w:r/>
    </w:p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u w:val="none"/>
        </w:rPr>
      </w:r>
      <w:r/>
    </w:p>
    <w:p>
      <w:pPr>
        <w:ind w:left="0" w:right="0" w:firstLine="0"/>
        <w:jc w:val="center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2. Порядок премирования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br/>
        <w:tab/>
        <w:t xml:space="preserve">2.1.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Настоящим положением предусматривается текущее и единовременное (разовое) премирование.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2.2. Текущее премирование директора осуществляется по итогам работы за квартал в случае добросовестного выполнения трудовых обязанностей, возложенных на него трудовым договором, внутренними документами Ассоциации и поручений правления Ассоциации.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2.3. Единовременное премирование может осуществляться в отношении директора в следующих случаях: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6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2.3.1. по итогам успешной работы Ассоциации за год;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6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2.3.3. в связи с государственными или профессиональными праздниками;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6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2.3.3. з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 выполнение отдельных поручений правления, которые связаны с уставными задачами Ассоциации.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6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6" w:line="276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2.4. Текущее и единовременное премирование директора осуществляется при условии премирования других работников Ассоциации.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 Порядок утверждения, начисления и выплаты премий.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  4.1. Решение о премировании директора принимает президент Ассоциации.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</w:p>
    <w:p>
      <w:pPr>
        <w:ind w:left="0" w:right="0" w:firstLine="54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u w:val="none"/>
        </w:rPr>
      </w:r>
      <w:r/>
    </w:p>
    <w:p>
      <w:pPr>
        <w:ind w:left="0" w:right="0" w:firstLine="54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 4.2.  Приказ о премировании директора от имени Ассоциации подписывает президент Ассоциации.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</w:p>
    <w:p>
      <w:pPr>
        <w:ind w:left="0" w:right="0" w:firstLine="708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4.3. Президент имеет право снижать размер премии или лишать ее выплаты за допущенные  упущения и недостатки в работе:</w:t>
      </w:r>
      <w:r/>
    </w:p>
    <w:p>
      <w:pPr>
        <w:ind w:left="0" w:right="0" w:firstLine="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4.2.1 нарушений в финансово-хозяйственной деятельности ассоциации, удостоверенных актами проверок ревизионной комиссии или внешнего аудитора; </w:t>
      </w:r>
      <w:r/>
    </w:p>
    <w:p>
      <w:pPr>
        <w:ind w:left="0" w:right="0" w:firstLine="0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4.2.2. невыполнения решений правления и общего собрания Ассоциации;</w:t>
      </w:r>
      <w:r/>
    </w:p>
    <w:p>
      <w:pPr>
        <w:ind w:left="0" w:right="0" w:firstLine="0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4.2.3. невыполнения локальных нормативных актов Ассоциации;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</w:p>
    <w:p>
      <w:pPr>
        <w:ind w:left="0" w:right="0" w:firstLine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u w:val="none"/>
        </w:rPr>
        <w:t xml:space="preserve">4.2.4. оправданных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претензий по работе Ассоциации со стороны государственных и муниципальных органов, НОПРИЗ, правления и членов Ассоциации.</w:t>
      </w:r>
      <w:r/>
    </w:p>
    <w:p>
      <w:pPr>
        <w:ind w:left="0" w:right="0" w:firstLine="708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4.4. Лишение премии или снижение размера премии производится за тот период, в котором было совершено упущение в работе, или в отдельных случаях за тот период, в котором оно было выявлено.</w:t>
      </w:r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4.5. Премия начисляется за фактически отработанное время.</w:t>
      </w:r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4.6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. Премия, начисляемая по настоящему Положению, учитывается при исчислении средней заработной платы.</w:t>
      </w:r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4.7.</w:t>
      </w:r>
      <w:r>
        <w:rPr>
          <w:rFonts w:ascii="Times New Roman" w:hAnsi="Times New Roman" w:eastAsia="Times New Roman" w:cs="Times New Roman"/>
          <w:color w:val="ff0000"/>
          <w:sz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Выплата премии производится одновременно с выплатой заработной платы за расчетный период, но не позднее месячного срока после его окончания.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5.</w:t>
      </w:r>
      <w:r>
        <w:rPr>
          <w:rFonts w:ascii="Times New Roman" w:hAnsi="Times New Roman" w:eastAsia="Times New Roman" w:cs="Times New Roman"/>
          <w:color w:val="ff0000"/>
          <w:sz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Заключительные положения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5.1</w:t>
      </w: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Настоящее Положение применяется в отношении руководителя Ассоциации, с которым заключен трудовой договор, в течение всего периода действия трудового договора и направлено на стимулирование эффективного управления имуществом и финансами Ассоциации.</w:t>
      </w:r>
      <w:r/>
    </w:p>
    <w:p>
      <w:pPr>
        <w:ind w:left="0" w:right="0" w:firstLine="540"/>
        <w:spacing w:before="0" w:after="160" w:line="7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5.2.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Настоящее Положение вступает в силу с момента его утверждения и действует до его отмены решением правлением Ассоциации.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</w:p>
    <w:p>
      <w:pPr>
        <w:ind w:left="0" w:right="0" w:firstLine="540"/>
        <w:spacing w:before="0" w:after="160" w:line="7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center"/>
        <w:spacing w:before="0" w:after="160" w:line="7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u w:val="none"/>
        </w:rPr>
        <w:t xml:space="preserve">***</w:t>
      </w:r>
      <w:r/>
    </w:p>
    <w:p>
      <w:r/>
      <w:r/>
    </w:p>
    <w:p>
      <w:r>
        <w:rPr>
          <w:b w:val="0"/>
          <w:bCs w:val="0"/>
          <w:color w:val="auto"/>
          <w:sz w:val="24"/>
          <w:szCs w:val="24"/>
          <w:highlight w:val="none"/>
        </w:rPr>
      </w:r>
      <w:r>
        <w:rPr>
          <w:b w:val="0"/>
          <w:bCs w:val="0"/>
          <w:color w:val="auto"/>
          <w:sz w:val="24"/>
          <w:szCs w:val="24"/>
          <w:highlight w:val="none"/>
        </w:rPr>
      </w:r>
      <w:r/>
    </w:p>
    <w:sectPr>
      <w:footnotePr/>
      <w:endnotePr/>
      <w:type w:val="nextPage"/>
      <w:pgSz w:w="11910" w:h="16840" w:orient="portrait"/>
      <w:pgMar w:top="680" w:right="567" w:bottom="68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2"/>
  </w:num>
  <w:num w:numId="105">
    <w:abstractNumId w:val="103"/>
  </w:num>
  <w:num w:numId="10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7"/>
  </w:num>
  <w:num w:numId="120">
    <w:abstractNumId w:val="118"/>
  </w:num>
  <w:num w:numId="12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3">
    <w:name w:val="Heading 1"/>
    <w:basedOn w:val="1081"/>
    <w:next w:val="1081"/>
    <w:link w:val="9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04">
    <w:name w:val="Heading 1 Char"/>
    <w:link w:val="903"/>
    <w:uiPriority w:val="9"/>
    <w:rPr>
      <w:rFonts w:ascii="Arial" w:hAnsi="Arial" w:eastAsia="Arial" w:cs="Arial"/>
      <w:sz w:val="40"/>
      <w:szCs w:val="40"/>
    </w:rPr>
  </w:style>
  <w:style w:type="paragraph" w:styleId="905">
    <w:name w:val="Heading 2"/>
    <w:basedOn w:val="1081"/>
    <w:next w:val="1081"/>
    <w:link w:val="9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6">
    <w:name w:val="Heading 2 Char"/>
    <w:link w:val="905"/>
    <w:uiPriority w:val="9"/>
    <w:rPr>
      <w:rFonts w:ascii="Arial" w:hAnsi="Arial" w:eastAsia="Arial" w:cs="Arial"/>
      <w:sz w:val="34"/>
    </w:rPr>
  </w:style>
  <w:style w:type="paragraph" w:styleId="907">
    <w:name w:val="Heading 3"/>
    <w:basedOn w:val="1081"/>
    <w:next w:val="1081"/>
    <w:link w:val="9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8">
    <w:name w:val="Heading 3 Char"/>
    <w:link w:val="907"/>
    <w:uiPriority w:val="9"/>
    <w:rPr>
      <w:rFonts w:ascii="Arial" w:hAnsi="Arial" w:eastAsia="Arial" w:cs="Arial"/>
      <w:sz w:val="30"/>
      <w:szCs w:val="30"/>
    </w:rPr>
  </w:style>
  <w:style w:type="paragraph" w:styleId="909">
    <w:name w:val="Heading 4"/>
    <w:basedOn w:val="1081"/>
    <w:next w:val="1081"/>
    <w:link w:val="9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10">
    <w:name w:val="Heading 4 Char"/>
    <w:link w:val="909"/>
    <w:uiPriority w:val="9"/>
    <w:rPr>
      <w:rFonts w:ascii="Arial" w:hAnsi="Arial" w:eastAsia="Arial" w:cs="Arial"/>
      <w:b/>
      <w:bCs/>
      <w:sz w:val="26"/>
      <w:szCs w:val="26"/>
    </w:rPr>
  </w:style>
  <w:style w:type="paragraph" w:styleId="911">
    <w:name w:val="Heading 5"/>
    <w:basedOn w:val="1081"/>
    <w:next w:val="1081"/>
    <w:link w:val="9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12">
    <w:name w:val="Heading 5 Char"/>
    <w:link w:val="911"/>
    <w:uiPriority w:val="9"/>
    <w:rPr>
      <w:rFonts w:ascii="Arial" w:hAnsi="Arial" w:eastAsia="Arial" w:cs="Arial"/>
      <w:b/>
      <w:bCs/>
      <w:sz w:val="24"/>
      <w:szCs w:val="24"/>
    </w:rPr>
  </w:style>
  <w:style w:type="paragraph" w:styleId="913">
    <w:name w:val="Heading 6"/>
    <w:basedOn w:val="1081"/>
    <w:next w:val="1081"/>
    <w:link w:val="9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14">
    <w:name w:val="Heading 6 Char"/>
    <w:link w:val="913"/>
    <w:uiPriority w:val="9"/>
    <w:rPr>
      <w:rFonts w:ascii="Arial" w:hAnsi="Arial" w:eastAsia="Arial" w:cs="Arial"/>
      <w:b/>
      <w:bCs/>
      <w:sz w:val="22"/>
      <w:szCs w:val="22"/>
    </w:rPr>
  </w:style>
  <w:style w:type="paragraph" w:styleId="915">
    <w:name w:val="Heading 7"/>
    <w:basedOn w:val="1081"/>
    <w:next w:val="1081"/>
    <w:link w:val="9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6">
    <w:name w:val="Heading 7 Char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7">
    <w:name w:val="Heading 8"/>
    <w:basedOn w:val="1081"/>
    <w:next w:val="1081"/>
    <w:link w:val="9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8">
    <w:name w:val="Heading 8 Char"/>
    <w:link w:val="917"/>
    <w:uiPriority w:val="9"/>
    <w:rPr>
      <w:rFonts w:ascii="Arial" w:hAnsi="Arial" w:eastAsia="Arial" w:cs="Arial"/>
      <w:i/>
      <w:iCs/>
      <w:sz w:val="22"/>
      <w:szCs w:val="22"/>
    </w:rPr>
  </w:style>
  <w:style w:type="paragraph" w:styleId="919">
    <w:name w:val="Heading 9"/>
    <w:basedOn w:val="1081"/>
    <w:next w:val="1081"/>
    <w:link w:val="9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0">
    <w:name w:val="Heading 9 Char"/>
    <w:link w:val="919"/>
    <w:uiPriority w:val="9"/>
    <w:rPr>
      <w:rFonts w:ascii="Arial" w:hAnsi="Arial" w:eastAsia="Arial" w:cs="Arial"/>
      <w:i/>
      <w:iCs/>
      <w:sz w:val="21"/>
      <w:szCs w:val="21"/>
    </w:rPr>
  </w:style>
  <w:style w:type="paragraph" w:styleId="921">
    <w:name w:val="List Paragraph"/>
    <w:basedOn w:val="1081"/>
    <w:uiPriority w:val="34"/>
    <w:qFormat/>
    <w:pPr>
      <w:contextualSpacing/>
      <w:ind w:left="720"/>
    </w:pPr>
  </w:style>
  <w:style w:type="paragraph" w:styleId="922">
    <w:name w:val="No Spacing"/>
    <w:uiPriority w:val="1"/>
    <w:qFormat/>
    <w:pPr>
      <w:spacing w:before="0" w:after="0" w:line="240" w:lineRule="auto"/>
    </w:pPr>
  </w:style>
  <w:style w:type="paragraph" w:styleId="923">
    <w:name w:val="Title"/>
    <w:basedOn w:val="1081"/>
    <w:next w:val="1081"/>
    <w:link w:val="9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24">
    <w:name w:val="Title Char"/>
    <w:link w:val="923"/>
    <w:uiPriority w:val="10"/>
    <w:rPr>
      <w:sz w:val="48"/>
      <w:szCs w:val="48"/>
    </w:rPr>
  </w:style>
  <w:style w:type="paragraph" w:styleId="925">
    <w:name w:val="Subtitle"/>
    <w:basedOn w:val="1081"/>
    <w:next w:val="1081"/>
    <w:link w:val="926"/>
    <w:uiPriority w:val="11"/>
    <w:qFormat/>
    <w:pPr>
      <w:spacing w:before="200" w:after="200"/>
    </w:pPr>
    <w:rPr>
      <w:sz w:val="24"/>
      <w:szCs w:val="24"/>
    </w:rPr>
  </w:style>
  <w:style w:type="character" w:styleId="926">
    <w:name w:val="Subtitle Char"/>
    <w:link w:val="925"/>
    <w:uiPriority w:val="11"/>
    <w:rPr>
      <w:sz w:val="24"/>
      <w:szCs w:val="24"/>
    </w:rPr>
  </w:style>
  <w:style w:type="paragraph" w:styleId="927">
    <w:name w:val="Quote"/>
    <w:basedOn w:val="1081"/>
    <w:next w:val="1081"/>
    <w:link w:val="928"/>
    <w:uiPriority w:val="29"/>
    <w:qFormat/>
    <w:pPr>
      <w:ind w:left="720" w:right="720"/>
    </w:pPr>
    <w:rPr>
      <w:i/>
    </w:rPr>
  </w:style>
  <w:style w:type="character" w:styleId="928">
    <w:name w:val="Quote Char"/>
    <w:link w:val="927"/>
    <w:uiPriority w:val="29"/>
    <w:rPr>
      <w:i/>
    </w:rPr>
  </w:style>
  <w:style w:type="paragraph" w:styleId="929">
    <w:name w:val="Intense Quote"/>
    <w:basedOn w:val="1081"/>
    <w:next w:val="1081"/>
    <w:link w:val="9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0">
    <w:name w:val="Intense Quote Char"/>
    <w:link w:val="929"/>
    <w:uiPriority w:val="30"/>
    <w:rPr>
      <w:i/>
    </w:rPr>
  </w:style>
  <w:style w:type="paragraph" w:styleId="931">
    <w:name w:val="Header"/>
    <w:basedOn w:val="1081"/>
    <w:link w:val="9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2">
    <w:name w:val="Header Char"/>
    <w:link w:val="931"/>
    <w:uiPriority w:val="99"/>
  </w:style>
  <w:style w:type="paragraph" w:styleId="933">
    <w:name w:val="Footer"/>
    <w:basedOn w:val="1081"/>
    <w:link w:val="9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4">
    <w:name w:val="Footer Char"/>
    <w:link w:val="933"/>
    <w:uiPriority w:val="99"/>
  </w:style>
  <w:style w:type="paragraph" w:styleId="935">
    <w:name w:val="Caption"/>
    <w:basedOn w:val="1081"/>
    <w:next w:val="1081"/>
    <w:link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6">
    <w:name w:val="Caption Char"/>
    <w:basedOn w:val="935"/>
    <w:link w:val="933"/>
    <w:uiPriority w:val="99"/>
  </w:style>
  <w:style w:type="table" w:styleId="9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63">
    <w:name w:val="Hyperlink"/>
    <w:uiPriority w:val="99"/>
    <w:unhideWhenUsed/>
    <w:rPr>
      <w:color w:val="0000ff" w:themeColor="hyperlink"/>
      <w:u w:val="single"/>
    </w:rPr>
  </w:style>
  <w:style w:type="paragraph" w:styleId="1064">
    <w:name w:val="footnote text"/>
    <w:basedOn w:val="1081"/>
    <w:link w:val="1065"/>
    <w:uiPriority w:val="99"/>
    <w:semiHidden/>
    <w:unhideWhenUsed/>
    <w:pPr>
      <w:spacing w:after="40" w:line="240" w:lineRule="auto"/>
    </w:pPr>
    <w:rPr>
      <w:sz w:val="18"/>
    </w:rPr>
  </w:style>
  <w:style w:type="character" w:styleId="1065">
    <w:name w:val="Footnote Text Char"/>
    <w:link w:val="1064"/>
    <w:uiPriority w:val="99"/>
    <w:rPr>
      <w:sz w:val="18"/>
    </w:rPr>
  </w:style>
  <w:style w:type="character" w:styleId="1066">
    <w:name w:val="footnote reference"/>
    <w:uiPriority w:val="99"/>
    <w:unhideWhenUsed/>
    <w:rPr>
      <w:vertAlign w:val="superscript"/>
    </w:rPr>
  </w:style>
  <w:style w:type="paragraph" w:styleId="1067">
    <w:name w:val="endnote text"/>
    <w:basedOn w:val="1081"/>
    <w:link w:val="1068"/>
    <w:uiPriority w:val="99"/>
    <w:semiHidden/>
    <w:unhideWhenUsed/>
    <w:pPr>
      <w:spacing w:after="0" w:line="240" w:lineRule="auto"/>
    </w:pPr>
    <w:rPr>
      <w:sz w:val="20"/>
    </w:rPr>
  </w:style>
  <w:style w:type="character" w:styleId="1068">
    <w:name w:val="Endnote Text Char"/>
    <w:link w:val="1067"/>
    <w:uiPriority w:val="99"/>
    <w:rPr>
      <w:sz w:val="20"/>
    </w:rPr>
  </w:style>
  <w:style w:type="character" w:styleId="1069">
    <w:name w:val="endnote reference"/>
    <w:uiPriority w:val="99"/>
    <w:semiHidden/>
    <w:unhideWhenUsed/>
    <w:rPr>
      <w:vertAlign w:val="superscript"/>
    </w:rPr>
  </w:style>
  <w:style w:type="paragraph" w:styleId="1070">
    <w:name w:val="toc 1"/>
    <w:basedOn w:val="1081"/>
    <w:next w:val="1081"/>
    <w:uiPriority w:val="39"/>
    <w:unhideWhenUsed/>
    <w:pPr>
      <w:ind w:left="0" w:right="0" w:firstLine="0"/>
      <w:spacing w:after="57"/>
    </w:pPr>
  </w:style>
  <w:style w:type="paragraph" w:styleId="1071">
    <w:name w:val="toc 2"/>
    <w:basedOn w:val="1081"/>
    <w:next w:val="1081"/>
    <w:uiPriority w:val="39"/>
    <w:unhideWhenUsed/>
    <w:pPr>
      <w:ind w:left="283" w:right="0" w:firstLine="0"/>
      <w:spacing w:after="57"/>
    </w:pPr>
  </w:style>
  <w:style w:type="paragraph" w:styleId="1072">
    <w:name w:val="toc 3"/>
    <w:basedOn w:val="1081"/>
    <w:next w:val="1081"/>
    <w:uiPriority w:val="39"/>
    <w:unhideWhenUsed/>
    <w:pPr>
      <w:ind w:left="567" w:right="0" w:firstLine="0"/>
      <w:spacing w:after="57"/>
    </w:pPr>
  </w:style>
  <w:style w:type="paragraph" w:styleId="1073">
    <w:name w:val="toc 4"/>
    <w:basedOn w:val="1081"/>
    <w:next w:val="1081"/>
    <w:uiPriority w:val="39"/>
    <w:unhideWhenUsed/>
    <w:pPr>
      <w:ind w:left="850" w:right="0" w:firstLine="0"/>
      <w:spacing w:after="57"/>
    </w:pPr>
  </w:style>
  <w:style w:type="paragraph" w:styleId="1074">
    <w:name w:val="toc 5"/>
    <w:basedOn w:val="1081"/>
    <w:next w:val="1081"/>
    <w:uiPriority w:val="39"/>
    <w:unhideWhenUsed/>
    <w:pPr>
      <w:ind w:left="1134" w:right="0" w:firstLine="0"/>
      <w:spacing w:after="57"/>
    </w:pPr>
  </w:style>
  <w:style w:type="paragraph" w:styleId="1075">
    <w:name w:val="toc 6"/>
    <w:basedOn w:val="1081"/>
    <w:next w:val="1081"/>
    <w:uiPriority w:val="39"/>
    <w:unhideWhenUsed/>
    <w:pPr>
      <w:ind w:left="1417" w:right="0" w:firstLine="0"/>
      <w:spacing w:after="57"/>
    </w:pPr>
  </w:style>
  <w:style w:type="paragraph" w:styleId="1076">
    <w:name w:val="toc 7"/>
    <w:basedOn w:val="1081"/>
    <w:next w:val="1081"/>
    <w:uiPriority w:val="39"/>
    <w:unhideWhenUsed/>
    <w:pPr>
      <w:ind w:left="1701" w:right="0" w:firstLine="0"/>
      <w:spacing w:after="57"/>
    </w:pPr>
  </w:style>
  <w:style w:type="paragraph" w:styleId="1077">
    <w:name w:val="toc 8"/>
    <w:basedOn w:val="1081"/>
    <w:next w:val="1081"/>
    <w:uiPriority w:val="39"/>
    <w:unhideWhenUsed/>
    <w:pPr>
      <w:ind w:left="1984" w:right="0" w:firstLine="0"/>
      <w:spacing w:after="57"/>
    </w:pPr>
  </w:style>
  <w:style w:type="paragraph" w:styleId="1078">
    <w:name w:val="toc 9"/>
    <w:basedOn w:val="1081"/>
    <w:next w:val="1081"/>
    <w:uiPriority w:val="39"/>
    <w:unhideWhenUsed/>
    <w:pPr>
      <w:ind w:left="2268" w:right="0" w:firstLine="0"/>
      <w:spacing w:after="57"/>
    </w:pPr>
  </w:style>
  <w:style w:type="paragraph" w:styleId="1079">
    <w:name w:val="TOC Heading"/>
    <w:uiPriority w:val="39"/>
    <w:unhideWhenUsed/>
  </w:style>
  <w:style w:type="paragraph" w:styleId="1080">
    <w:name w:val="table of figures"/>
    <w:basedOn w:val="1081"/>
    <w:next w:val="1081"/>
    <w:uiPriority w:val="99"/>
    <w:unhideWhenUsed/>
    <w:pPr>
      <w:spacing w:after="0" w:afterAutospacing="0"/>
    </w:pPr>
  </w:style>
  <w:style w:type="paragraph" w:styleId="1081" w:default="1">
    <w:name w:val="Normal"/>
    <w:next w:val="1081"/>
    <w:link w:val="1081"/>
    <w:qFormat/>
    <w:rPr>
      <w:lang w:val="ru-RU" w:eastAsia="ru-RU" w:bidi="ar-SA"/>
    </w:rPr>
  </w:style>
  <w:style w:type="paragraph" w:styleId="1082">
    <w:name w:val="Заголовок 1"/>
    <w:basedOn w:val="1081"/>
    <w:next w:val="1082"/>
    <w:link w:val="1095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83">
    <w:name w:val="Заголовок 2"/>
    <w:basedOn w:val="1081"/>
    <w:next w:val="1081"/>
    <w:link w:val="1102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84">
    <w:name w:val="Основной шрифт абзаца"/>
    <w:next w:val="1084"/>
    <w:link w:val="1081"/>
    <w:uiPriority w:val="1"/>
    <w:unhideWhenUsed/>
  </w:style>
  <w:style w:type="table" w:styleId="1085">
    <w:name w:val="Обычная таблица"/>
    <w:next w:val="1085"/>
    <w:link w:val="1081"/>
    <w:uiPriority w:val="99"/>
    <w:semiHidden/>
    <w:unhideWhenUsed/>
    <w:qFormat/>
    <w:tblPr/>
  </w:style>
  <w:style w:type="numbering" w:styleId="1086">
    <w:name w:val="Нет списка"/>
    <w:next w:val="1086"/>
    <w:link w:val="1081"/>
    <w:uiPriority w:val="99"/>
    <w:semiHidden/>
    <w:unhideWhenUsed/>
  </w:style>
  <w:style w:type="paragraph" w:styleId="1087">
    <w:name w:val="Без интервала"/>
    <w:next w:val="1087"/>
    <w:link w:val="1088"/>
    <w:uiPriority w:val="1"/>
    <w:qFormat/>
    <w:rPr>
      <w:sz w:val="22"/>
      <w:szCs w:val="22"/>
      <w:lang w:val="ru-RU" w:eastAsia="en-US" w:bidi="ar-SA"/>
    </w:rPr>
  </w:style>
  <w:style w:type="character" w:styleId="1088">
    <w:name w:val="Без интервала Знак"/>
    <w:next w:val="1088"/>
    <w:link w:val="1087"/>
    <w:uiPriority w:val="1"/>
    <w:rPr>
      <w:sz w:val="22"/>
      <w:szCs w:val="22"/>
      <w:lang w:val="ru-RU" w:eastAsia="en-US" w:bidi="ar-SA"/>
    </w:rPr>
  </w:style>
  <w:style w:type="paragraph" w:styleId="1089">
    <w:name w:val="Нижний колонтитул"/>
    <w:basedOn w:val="1081"/>
    <w:next w:val="1089"/>
    <w:link w:val="109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90">
    <w:name w:val="Нижний колонтитул Знак"/>
    <w:next w:val="1090"/>
    <w:link w:val="1089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91">
    <w:name w:val="Строгий"/>
    <w:next w:val="1091"/>
    <w:link w:val="1081"/>
    <w:uiPriority w:val="22"/>
    <w:qFormat/>
    <w:rPr>
      <w:b/>
      <w:bCs/>
      <w:color w:val="943634"/>
      <w:spacing w:val="5"/>
    </w:rPr>
  </w:style>
  <w:style w:type="paragraph" w:styleId="1092">
    <w:name w:val="Обычный (Интернет),Обычный (веб)"/>
    <w:basedOn w:val="1081"/>
    <w:next w:val="1092"/>
    <w:link w:val="1081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93">
    <w:name w:val="Верхний колонтитул"/>
    <w:basedOn w:val="1081"/>
    <w:next w:val="1093"/>
    <w:link w:val="10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4">
    <w:name w:val="Верхний колонтитул Знак"/>
    <w:basedOn w:val="1084"/>
    <w:next w:val="1094"/>
    <w:link w:val="1093"/>
    <w:uiPriority w:val="99"/>
  </w:style>
  <w:style w:type="character" w:styleId="1095">
    <w:name w:val="Заголовок 1 Знак"/>
    <w:next w:val="1095"/>
    <w:link w:val="1082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96">
    <w:name w:val="Основной текст"/>
    <w:basedOn w:val="1081"/>
    <w:next w:val="1096"/>
    <w:link w:val="1097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097">
    <w:name w:val="Основной текст Знак"/>
    <w:next w:val="1097"/>
    <w:link w:val="1096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098">
    <w:name w:val="Абзац списка"/>
    <w:basedOn w:val="1081"/>
    <w:next w:val="1098"/>
    <w:link w:val="1081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99">
    <w:name w:val="Table Paragraph"/>
    <w:basedOn w:val="1081"/>
    <w:next w:val="1099"/>
    <w:link w:val="1081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100">
    <w:name w:val="ConsPlusNormal"/>
    <w:next w:val="1100"/>
    <w:link w:val="108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101">
    <w:name w:val="Гиперссылка"/>
    <w:next w:val="1101"/>
    <w:link w:val="1081"/>
    <w:uiPriority w:val="99"/>
    <w:unhideWhenUsed/>
    <w:rPr>
      <w:color w:val="0000ff"/>
      <w:u w:val="single"/>
    </w:rPr>
  </w:style>
  <w:style w:type="character" w:styleId="1102">
    <w:name w:val="Заголовок 2 Знак"/>
    <w:next w:val="1102"/>
    <w:link w:val="1083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103">
    <w:name w:val="Цитата 2"/>
    <w:basedOn w:val="1081"/>
    <w:next w:val="1081"/>
    <w:link w:val="1104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104">
    <w:name w:val="Цитата 2 Знак"/>
    <w:next w:val="1104"/>
    <w:link w:val="1103"/>
    <w:uiPriority w:val="29"/>
    <w:rPr>
      <w:rFonts w:eastAsia="Times New Roman"/>
      <w:i/>
      <w:iCs/>
      <w:color w:val="000000"/>
      <w:lang w:val="en-US" w:eastAsia="en-US"/>
    </w:rPr>
  </w:style>
  <w:style w:type="paragraph" w:styleId="1105">
    <w:name w:val="Текст выноски"/>
    <w:basedOn w:val="1081"/>
    <w:next w:val="1105"/>
    <w:link w:val="1106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106">
    <w:name w:val="Текст выноски Знак"/>
    <w:next w:val="1106"/>
    <w:link w:val="1105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107">
    <w:name w:val="ConsNonformat"/>
    <w:next w:val="1107"/>
    <w:link w:val="1081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108">
    <w:name w:val="apple-converted-space"/>
    <w:next w:val="1108"/>
    <w:link w:val="1081"/>
  </w:style>
  <w:style w:type="paragraph" w:styleId="1109">
    <w:name w:val="Обычный1"/>
    <w:next w:val="1109"/>
    <w:link w:val="1081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110">
    <w:name w:val="ТЕКСТ№"/>
    <w:basedOn w:val="1081"/>
    <w:next w:val="1110"/>
    <w:link w:val="1081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111">
    <w:name w:val="ТЕКСТ"/>
    <w:basedOn w:val="1081"/>
    <w:next w:val="1111"/>
    <w:link w:val="1081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112">
    <w:name w:val="Цветовое выделение"/>
    <w:next w:val="1112"/>
    <w:link w:val="1081"/>
    <w:rPr>
      <w:b/>
      <w:bCs/>
      <w:color w:val="000080"/>
    </w:rPr>
  </w:style>
  <w:style w:type="paragraph" w:styleId="1113">
    <w:name w:val=".FORMATTEXT"/>
    <w:next w:val="1113"/>
    <w:link w:val="1081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114">
    <w:name w:val="formattext"/>
    <w:next w:val="1114"/>
    <w:link w:val="1081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115">
    <w:name w:val="fontstyle01"/>
    <w:next w:val="1115"/>
    <w:link w:val="1081"/>
    <w:rPr>
      <w:rFonts w:ascii="TimesNewRomanPSMT" w:hAnsi="TimesNewRomanPSMT"/>
      <w:color w:val="000000"/>
      <w:sz w:val="24"/>
      <w:szCs w:val="24"/>
    </w:rPr>
  </w:style>
  <w:style w:type="paragraph" w:styleId="1116">
    <w:name w:val="Основной текст с отступом"/>
    <w:basedOn w:val="1081"/>
    <w:next w:val="1116"/>
    <w:link w:val="1117"/>
    <w:uiPriority w:val="99"/>
    <w:semiHidden/>
    <w:unhideWhenUsed/>
    <w:pPr>
      <w:ind w:left="283"/>
      <w:spacing w:after="120"/>
    </w:pPr>
  </w:style>
  <w:style w:type="character" w:styleId="1117">
    <w:name w:val="Основной текст с отступом Знак"/>
    <w:basedOn w:val="1084"/>
    <w:next w:val="1117"/>
    <w:link w:val="1116"/>
    <w:uiPriority w:val="99"/>
    <w:semiHidden/>
  </w:style>
  <w:style w:type="character" w:styleId="1118">
    <w:name w:val="info-property-value"/>
    <w:next w:val="1118"/>
    <w:link w:val="1081"/>
  </w:style>
  <w:style w:type="numbering" w:styleId="1119">
    <w:name w:val="Нет списка1"/>
    <w:next w:val="1086"/>
    <w:link w:val="1081"/>
    <w:uiPriority w:val="99"/>
    <w:semiHidden/>
    <w:unhideWhenUsed/>
  </w:style>
  <w:style w:type="paragraph" w:styleId="1120">
    <w:name w:val="ppub"/>
    <w:basedOn w:val="1081"/>
    <w:next w:val="1120"/>
    <w:link w:val="1081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121">
    <w:name w:val="Сетка таблицы"/>
    <w:basedOn w:val="1085"/>
    <w:next w:val="1121"/>
    <w:link w:val="1081"/>
    <w:uiPriority w:val="59"/>
    <w:tblPr/>
  </w:style>
  <w:style w:type="paragraph" w:styleId="1122">
    <w:name w:val="Схема документа"/>
    <w:basedOn w:val="1081"/>
    <w:next w:val="1122"/>
    <w:link w:val="1123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123">
    <w:name w:val="Схема документа Знак"/>
    <w:next w:val="1123"/>
    <w:link w:val="112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124">
    <w:name w:val="Font Style18"/>
    <w:next w:val="1124"/>
    <w:link w:val="1081"/>
    <w:uiPriority w:val="99"/>
    <w:rPr>
      <w:sz w:val="26"/>
      <w:szCs w:val="26"/>
    </w:rPr>
  </w:style>
  <w:style w:type="paragraph" w:styleId="1125">
    <w:name w:val="ConsNormal"/>
    <w:next w:val="1125"/>
    <w:link w:val="1081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126">
    <w:name w:val="Основной текст 3"/>
    <w:basedOn w:val="1081"/>
    <w:next w:val="1126"/>
    <w:link w:val="1127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27">
    <w:name w:val="Основной текст 3 Знак"/>
    <w:next w:val="1127"/>
    <w:link w:val="1126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28">
    <w:name w:val="Знак примечания"/>
    <w:next w:val="1128"/>
    <w:link w:val="1081"/>
    <w:uiPriority w:val="99"/>
    <w:semiHidden/>
    <w:unhideWhenUsed/>
    <w:rPr>
      <w:sz w:val="16"/>
      <w:szCs w:val="16"/>
    </w:rPr>
  </w:style>
  <w:style w:type="paragraph" w:styleId="1129">
    <w:name w:val="Текст примечания"/>
    <w:basedOn w:val="1081"/>
    <w:next w:val="1129"/>
    <w:link w:val="1130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130">
    <w:name w:val="Текст примечания Знак"/>
    <w:next w:val="1130"/>
    <w:link w:val="1129"/>
    <w:uiPriority w:val="99"/>
    <w:semiHidden/>
    <w:rPr>
      <w:lang w:eastAsia="en-US"/>
    </w:rPr>
  </w:style>
  <w:style w:type="paragraph" w:styleId="1131">
    <w:name w:val="Тема примечания"/>
    <w:basedOn w:val="1129"/>
    <w:next w:val="1129"/>
    <w:link w:val="1132"/>
    <w:uiPriority w:val="99"/>
    <w:semiHidden/>
    <w:unhideWhenUsed/>
    <w:rPr>
      <w:b/>
      <w:bCs/>
    </w:rPr>
  </w:style>
  <w:style w:type="character" w:styleId="1132">
    <w:name w:val="Тема примечания Знак"/>
    <w:next w:val="1132"/>
    <w:link w:val="1131"/>
    <w:uiPriority w:val="99"/>
    <w:semiHidden/>
    <w:rPr>
      <w:b/>
      <w:bCs/>
      <w:lang w:eastAsia="en-US"/>
    </w:rPr>
  </w:style>
  <w:style w:type="character" w:styleId="1133" w:default="1">
    <w:name w:val="Default Paragraph Font"/>
    <w:uiPriority w:val="1"/>
    <w:semiHidden/>
    <w:unhideWhenUsed/>
  </w:style>
  <w:style w:type="numbering" w:styleId="1134" w:default="1">
    <w:name w:val="No List"/>
    <w:uiPriority w:val="99"/>
    <w:semiHidden/>
    <w:unhideWhenUsed/>
  </w:style>
  <w:style w:type="table" w:styleId="1135" w:default="1">
    <w:name w:val="Normal Table"/>
    <w:uiPriority w:val="99"/>
    <w:semiHidden/>
    <w:unhideWhenUsed/>
    <w:tblPr/>
  </w:style>
  <w:style w:type="paragraph" w:styleId="1136" w:customStyle="1">
    <w:name w:val=".HEADERTEXT"/>
    <w:next w:val="1017"/>
    <w:link w:val="974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DemidovAG</cp:lastModifiedBy>
  <cp:revision>95</cp:revision>
  <dcterms:created xsi:type="dcterms:W3CDTF">2023-02-27T06:50:00Z</dcterms:created>
  <dcterms:modified xsi:type="dcterms:W3CDTF">2025-08-06T06:51:21Z</dcterms:modified>
  <cp:version>1048576</cp:version>
</cp:coreProperties>
</file>