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ОТЧЁТ</w:t>
      </w:r>
      <w:r>
        <w:rPr>
          <w:rFonts w:ascii="Times New Roman" w:hAnsi="Times New Roman" w:cs="Times New Roman"/>
          <w:bCs/>
          <w:sz w:val="32"/>
          <w:szCs w:val="32"/>
        </w:rPr>
      </w:r>
      <w:r>
        <w:rPr>
          <w:rFonts w:ascii="Times New Roman" w:hAnsi="Times New Roman" w:cs="Times New Roman"/>
          <w:bCs/>
          <w:sz w:val="32"/>
          <w:szCs w:val="32"/>
        </w:rPr>
      </w:r>
    </w:p>
    <w:p>
      <w:pPr>
        <w:pStyle w:val="852"/>
        <w:ind w:left="-99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исполнении сметы доходов и расходов за 2025 год.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52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-567" w:right="-283" w:firstLine="56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очередном годовом собрании в апреле прошлого года была утверждена смета доходов и расходов ассоциации «СРО «ТОП» на 2025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-567" w:right="-283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статей доходов утверждённой</w:t>
      </w:r>
      <w:r>
        <w:rPr>
          <w:rFonts w:ascii="Times New Roman" w:hAnsi="Times New Roman" w:cs="Times New Roman"/>
          <w:sz w:val="28"/>
          <w:szCs w:val="28"/>
        </w:rPr>
        <w:t xml:space="preserve"> сметы были включены доходы от поступления ежемесячных взносов членов ассоциации СРО «ТОП», вступительных взносов от вновь принятых в Ассоциацию членов и неиспользованный остаток </w:t>
      </w:r>
      <w:r>
        <w:rPr>
          <w:rFonts w:ascii="Times New Roman" w:hAnsi="Times New Roman" w:cs="Times New Roman"/>
          <w:sz w:val="28"/>
          <w:szCs w:val="28"/>
        </w:rPr>
        <w:t xml:space="preserve">целевых средств с 2024 года.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-567" w:right="-283" w:firstLine="567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учётом переходящего с 2024 года остатка смета расходов была запланирована и утверждена собранием в размере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440130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2"/>
        <w:ind w:left="-567" w:right="-283" w:firstLine="567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Расходная часть сметы включает в себя 14 статей и выглядит таким образом: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2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СМЕТА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расходов ассоциации «Саморегулируемая организация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Тверское объединение  проектировщиков» </w:t>
      </w:r>
      <w:r>
        <w:rPr>
          <w:rFonts w:ascii="Times New Roman" w:hAnsi="Times New Roman" w:cs="Times New Roman"/>
          <w:b/>
          <w:sz w:val="24"/>
          <w:szCs w:val="24"/>
        </w:rPr>
        <w:t xml:space="preserve">на 2025 год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08"/>
        <w:tblW w:w="10205" w:type="dxa"/>
        <w:tblInd w:w="-567" w:type="dxa"/>
        <w:tblLayout w:type="fixed"/>
        <w:tblLook w:val="0600" w:firstRow="0" w:lastRow="0" w:firstColumn="0" w:lastColumn="0" w:noHBand="1" w:noVBand="1"/>
      </w:tblPr>
      <w:tblGrid>
        <w:gridCol w:w="1021"/>
        <w:gridCol w:w="5040"/>
        <w:gridCol w:w="2018"/>
        <w:gridCol w:w="2126"/>
      </w:tblGrid>
      <w:tr>
        <w:tblPrEx/>
        <w:trPr>
          <w:trHeight w:val="750"/>
        </w:trPr>
        <w:tc>
          <w:tcPr>
            <w:tcW w:w="1021" w:type="dxa"/>
            <w:textDirection w:val="lrTb"/>
            <w:noWrap w:val="false"/>
          </w:tcPr>
          <w:p>
            <w:pPr>
              <w:pStyle w:val="8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статей 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pStyle w:val="8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( руб ) план на 2025г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01.01.26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оборудования, хозтоваров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канцтоваров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142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92366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96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Членские взносы в НОП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738421,40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firstLine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339280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связи, интернет и почтовые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firstLine="425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93823,53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8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 обеспечение, хостинг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162829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ПК и оргтехники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6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Командировочные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51705,60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57198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работой  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(организационные, командировочные и т.п.)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8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зарплатой сотрудников дирекции Ассоциации а также внештатных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(в том числе премиальный фонд).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4017385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8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 и другие обязательные платежи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2398964,30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8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(представительские, аудит,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tcBorders>
              <w:bottom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52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контролем за исполнением членами Ассоциации договорных обязательств и соблюдением технических регламентов при выполнении проектных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52"/>
              <w:ind w:left="0" w:right="0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7"/>
        </w:trPr>
        <w:tc>
          <w:tcPr>
            <w:gridSpan w:val="2"/>
            <w:tcBorders>
              <w:top w:val="single" w:color="000000" w:sz="4" w:space="0"/>
            </w:tcBorders>
            <w:tcW w:w="6061" w:type="dxa"/>
            <w:textDirection w:val="lrTb"/>
            <w:noWrap w:val="false"/>
          </w:tcPr>
          <w:p>
            <w:pPr>
              <w:pStyle w:val="852"/>
              <w:ind w:left="42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8440130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283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8293272,83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pStyle w:val="672"/>
        <w:contextualSpacing w:val="0"/>
        <w:jc w:val="left"/>
        <w:spacing w:before="0" w:after="57" w:line="283" w:lineRule="atLeast"/>
        <w:widowControl/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</w:p>
    <w:p>
      <w:pPr>
        <w:pStyle w:val="852"/>
        <w:ind w:left="-567" w:right="-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отчётный период превышения суммы расходной части сметы по отношению к запланированной  не было допущено.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-28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большей или меньшей степени сэкономлены средства практически по всем статьям сметы.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частности не израсходованы средства по статье «расходы, связанные с контролем - 70 тыс.руб. Контрольная комиссия и дирекция использовали бесплатные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ресурсы получения информации по заключенным договорам. Обращений и жалоб на действия членов Ассоциации не было, поэтому привлечение финансовых ресурсов для проведения экспертиз не потребовалось.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-567" w:right="-283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Сэкономлены также средства по статье «расходы правления». Ранее большая часть средств из этой статьи направлялась на проведение конкурсов и других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ушедшем году по независящим от ассоциации такого рода мероприятия не проводились.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-567" w:right="-283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Завышены по сравнению с начальной сметой расходы на уплату налогов и страховых взносов, расходы на аренду помещений, услуги связи, интернет  а также на техническое обслуживание оргтехники и сопровождение программного обеспечения.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 вызвано ростом цен на данные расходы.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Финансирование проведено за счет средств статьи и небольшой части сэкономленных средств от других статей сметы расходов.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right="-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прошлом году своевременно и в полном объеме производились оплата труда сотрудникам  дирекции,  осуществлялись налоговые платежи, страховые взносы, а также уплачивались членские взносы в национальное объединение проектировщиков.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-567" w:right="-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Как и положено, по итогам года аудиторской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организацией, а также ревизионной комиссией Ассоциации были осуществлены проверки финансово - хозяйственной деятельности, бухгалтерской отчетности Ассоциации. Результаты этих проверок надлежащим образом оформлены отчетами и размещены  на сайте Ассоциации.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-567" w:right="-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-567" w:right="-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Директор СРО ТОП                                                              С.Г. Демидов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-567" w:right="-283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37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4"/>
    <w:uiPriority w:val="10"/>
    <w:rPr>
      <w:sz w:val="48"/>
      <w:szCs w:val="48"/>
    </w:rPr>
  </w:style>
  <w:style w:type="character" w:styleId="664">
    <w:name w:val="Subtitle Char"/>
    <w:basedOn w:val="682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Header Char"/>
    <w:basedOn w:val="682"/>
    <w:link w:val="702"/>
    <w:uiPriority w:val="99"/>
  </w:style>
  <w:style w:type="character" w:styleId="668">
    <w:name w:val="Footer Char"/>
    <w:basedOn w:val="682"/>
    <w:link w:val="704"/>
    <w:uiPriority w:val="99"/>
  </w:style>
  <w:style w:type="character" w:styleId="669">
    <w:name w:val="Caption Char"/>
    <w:basedOn w:val="706"/>
    <w:link w:val="704"/>
    <w:uiPriority w:val="99"/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672"/>
    <w:next w:val="672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Название Знак"/>
    <w:link w:val="694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link w:val="702"/>
    <w:uiPriority w:val="99"/>
  </w:style>
  <w:style w:type="paragraph" w:styleId="704">
    <w:name w:val="Foot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link w:val="704"/>
    <w:uiPriority w:val="99"/>
  </w:style>
  <w:style w:type="paragraph" w:styleId="706">
    <w:name w:val="Caption"/>
    <w:basedOn w:val="672"/>
    <w:next w:val="672"/>
    <w:link w:val="70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7" w:customStyle="1">
    <w:name w:val="Название объекта Знак"/>
    <w:link w:val="706"/>
    <w:uiPriority w:val="35"/>
    <w:rPr>
      <w:b/>
      <w:bCs/>
      <w:color w:val="5b9bd5" w:themeColor="accent1"/>
      <w:sz w:val="18"/>
      <w:szCs w:val="18"/>
    </w:rPr>
  </w:style>
  <w:style w:type="table" w:styleId="70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  <w:pPr>
      <w:spacing w:after="0"/>
    </w:pPr>
  </w:style>
  <w:style w:type="paragraph" w:styleId="852">
    <w:name w:val="No Spacing"/>
    <w:basedOn w:val="672"/>
    <w:uiPriority w:val="1"/>
    <w:qFormat/>
    <w:pPr>
      <w:spacing w:after="0" w:line="240" w:lineRule="auto"/>
    </w:pPr>
  </w:style>
  <w:style w:type="paragraph" w:styleId="853">
    <w:name w:val="List Paragraph"/>
    <w:basedOn w:val="67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DemidovAG</cp:lastModifiedBy>
  <cp:revision>15</cp:revision>
  <dcterms:created xsi:type="dcterms:W3CDTF">2025-03-29T15:01:00Z</dcterms:created>
  <dcterms:modified xsi:type="dcterms:W3CDTF">2026-04-15T11:09:18Z</dcterms:modified>
</cp:coreProperties>
</file>